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jc w:val="center"/>
        <w:tblBorders>
          <w:top w:val="nil"/>
          <w:left w:val="nil"/>
          <w:bottom w:val="nil"/>
          <w:right w:val="nil"/>
          <w:insideH w:val="nil"/>
          <w:insideV w:val="nil"/>
        </w:tblBorders>
        <w:tblLayout w:type="fixed"/>
        <w:tblLook w:val="04A0" w:firstRow="1" w:lastRow="0" w:firstColumn="1" w:lastColumn="0" w:noHBand="0" w:noVBand="1"/>
      </w:tblPr>
      <w:tblGrid>
        <w:gridCol w:w="4195"/>
        <w:gridCol w:w="5587"/>
      </w:tblGrid>
      <w:tr w:rsidR="00563E90" w:rsidTr="00563E90">
        <w:trPr>
          <w:jc w:val="center"/>
        </w:trPr>
        <w:tc>
          <w:tcPr>
            <w:tcW w:w="4195" w:type="dxa"/>
            <w:tcMar>
              <w:top w:w="0" w:type="dxa"/>
              <w:left w:w="30" w:type="dxa"/>
              <w:bottom w:w="0" w:type="dxa"/>
              <w:right w:w="30" w:type="dxa"/>
            </w:tcMar>
          </w:tcPr>
          <w:p w:rsidR="00563E90" w:rsidRPr="00000D6B" w:rsidRDefault="00563E90" w:rsidP="00563E90">
            <w:pPr>
              <w:spacing w:line="240" w:lineRule="auto"/>
              <w:jc w:val="center"/>
              <w:rPr>
                <w:sz w:val="26"/>
                <w:szCs w:val="26"/>
              </w:rPr>
            </w:pPr>
            <w:r w:rsidRPr="00000D6B">
              <w:rPr>
                <w:sz w:val="26"/>
                <w:szCs w:val="26"/>
              </w:rPr>
              <w:t>BỘ CÔNG AN</w:t>
            </w:r>
          </w:p>
          <w:p w:rsidR="00563E90" w:rsidRPr="00000D6B" w:rsidRDefault="00563E90" w:rsidP="00563E90">
            <w:pPr>
              <w:spacing w:line="240" w:lineRule="auto"/>
              <w:jc w:val="center"/>
              <w:rPr>
                <w:sz w:val="26"/>
                <w:szCs w:val="26"/>
              </w:rPr>
            </w:pPr>
            <w:r>
              <w:rPr>
                <w:b/>
                <w:noProof/>
                <w:sz w:val="26"/>
                <w:szCs w:val="26"/>
              </w:rPr>
              <mc:AlternateContent>
                <mc:Choice Requires="wps">
                  <w:drawing>
                    <wp:anchor distT="0" distB="0" distL="114300" distR="114300" simplePos="0" relativeHeight="251655680" behindDoc="0" locked="0" layoutInCell="1" allowOverlap="1" wp14:anchorId="7DE14A73" wp14:editId="46F21596">
                      <wp:simplePos x="0" y="0"/>
                      <wp:positionH relativeFrom="column">
                        <wp:posOffset>825808</wp:posOffset>
                      </wp:positionH>
                      <wp:positionV relativeFrom="paragraph">
                        <wp:posOffset>239632</wp:posOffset>
                      </wp:positionV>
                      <wp:extent cx="976108" cy="0"/>
                      <wp:effectExtent l="0" t="0" r="33655" b="19050"/>
                      <wp:wrapNone/>
                      <wp:docPr id="38" name="Straight Connector 38"/>
                      <wp:cNvGraphicFramePr/>
                      <a:graphic xmlns:a="http://schemas.openxmlformats.org/drawingml/2006/main">
                        <a:graphicData uri="http://schemas.microsoft.com/office/word/2010/wordprocessingShape">
                          <wps:wsp>
                            <wps:cNvCnPr/>
                            <wps:spPr>
                              <a:xfrm flipV="1">
                                <a:off x="0" y="0"/>
                                <a:ext cx="976108"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ECA33" id="Straight Connector 38"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8.85pt" to="141.8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" strokecolor="black [3213]"/>
                  </w:pict>
                </mc:Fallback>
              </mc:AlternateContent>
            </w:r>
            <w:r w:rsidRPr="00000D6B">
              <w:rPr>
                <w:b/>
                <w:sz w:val="26"/>
                <w:szCs w:val="26"/>
              </w:rPr>
              <w:t>CÔNG AN TỈNH HƯNG YÊN</w:t>
            </w:r>
          </w:p>
        </w:tc>
        <w:tc>
          <w:tcPr>
            <w:tcW w:w="5587" w:type="dxa"/>
            <w:tcMar>
              <w:top w:w="0" w:type="dxa"/>
              <w:left w:w="30" w:type="dxa"/>
              <w:bottom w:w="0" w:type="dxa"/>
              <w:right w:w="30" w:type="dxa"/>
            </w:tcMar>
          </w:tcPr>
          <w:p w:rsidR="00563E90" w:rsidRPr="00000D6B" w:rsidRDefault="00563E90" w:rsidP="00563E90">
            <w:pPr>
              <w:spacing w:line="240" w:lineRule="auto"/>
              <w:jc w:val="center"/>
              <w:rPr>
                <w:sz w:val="26"/>
                <w:szCs w:val="26"/>
              </w:rPr>
            </w:pPr>
            <w:r w:rsidRPr="00000D6B">
              <w:rPr>
                <w:b/>
                <w:sz w:val="26"/>
                <w:szCs w:val="26"/>
              </w:rPr>
              <w:t>CỘNG HÒA XÃ HỘI CHỦ NGHĨA VIỆT NAM</w:t>
            </w:r>
          </w:p>
          <w:p w:rsidR="00563E90" w:rsidRPr="00000D6B" w:rsidRDefault="00563E90" w:rsidP="00563E90">
            <w:pPr>
              <w:spacing w:line="240" w:lineRule="auto"/>
              <w:jc w:val="center"/>
              <w:rPr>
                <w:sz w:val="26"/>
                <w:szCs w:val="26"/>
              </w:rPr>
            </w:pPr>
            <w:r w:rsidRPr="00000D6B">
              <w:rPr>
                <w:b/>
                <w:sz w:val="26"/>
                <w:szCs w:val="26"/>
              </w:rPr>
              <w:t>Độc lập - Tự do - Hạnh phúc</w:t>
            </w:r>
          </w:p>
        </w:tc>
      </w:tr>
      <w:tr w:rsidR="00563E90" w:rsidTr="00563E90">
        <w:trPr>
          <w:jc w:val="center"/>
        </w:trPr>
        <w:tc>
          <w:tcPr>
            <w:tcW w:w="4195" w:type="dxa"/>
            <w:tcMar>
              <w:top w:w="160" w:type="dxa"/>
              <w:left w:w="30" w:type="dxa"/>
              <w:bottom w:w="0" w:type="dxa"/>
              <w:right w:w="30" w:type="dxa"/>
            </w:tcMar>
            <w:vAlign w:val="center"/>
          </w:tcPr>
          <w:p w:rsidR="00563E90" w:rsidRDefault="00563E90" w:rsidP="00563E90">
            <w:pPr>
              <w:spacing w:line="252" w:lineRule="auto"/>
              <w:jc w:val="center"/>
            </w:pPr>
            <w:r>
              <w:t>Số:           /QĐ-CAT-PV01</w:t>
            </w:r>
          </w:p>
        </w:tc>
        <w:tc>
          <w:tcPr>
            <w:tcW w:w="5587" w:type="dxa"/>
            <w:tcMar>
              <w:top w:w="160" w:type="dxa"/>
              <w:left w:w="30" w:type="dxa"/>
              <w:bottom w:w="0" w:type="dxa"/>
              <w:right w:w="30" w:type="dxa"/>
            </w:tcMar>
            <w:vAlign w:val="center"/>
          </w:tcPr>
          <w:p w:rsidR="00563E90" w:rsidRDefault="00563E90" w:rsidP="00563E90">
            <w:pPr>
              <w:spacing w:line="252" w:lineRule="auto"/>
              <w:jc w:val="center"/>
            </w:pPr>
            <w:r>
              <w:rPr>
                <w:b/>
                <w:noProof/>
                <w:sz w:val="26"/>
                <w:szCs w:val="26"/>
              </w:rPr>
              <mc:AlternateContent>
                <mc:Choice Requires="wps">
                  <w:drawing>
                    <wp:anchor distT="0" distB="0" distL="114300" distR="114300" simplePos="0" relativeHeight="251656704" behindDoc="0" locked="0" layoutInCell="1" allowOverlap="1" wp14:anchorId="57183CAF" wp14:editId="57DCDC7D">
                      <wp:simplePos x="0" y="0"/>
                      <wp:positionH relativeFrom="column">
                        <wp:posOffset>745490</wp:posOffset>
                      </wp:positionH>
                      <wp:positionV relativeFrom="paragraph">
                        <wp:posOffset>-72390</wp:posOffset>
                      </wp:positionV>
                      <wp:extent cx="1945640" cy="0"/>
                      <wp:effectExtent l="0" t="0" r="35560" b="19050"/>
                      <wp:wrapNone/>
                      <wp:docPr id="39" name="Straight Connector 39"/>
                      <wp:cNvGraphicFramePr/>
                      <a:graphic xmlns:a="http://schemas.openxmlformats.org/drawingml/2006/main">
                        <a:graphicData uri="http://schemas.microsoft.com/office/word/2010/wordprocessingShape">
                          <wps:wsp>
                            <wps:cNvCnPr/>
                            <wps:spPr>
                              <a:xfrm flipV="1">
                                <a:off x="0" y="0"/>
                                <a:ext cx="194564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6A1F5" id="Straight Connector 39"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7pt,-5.7pt" to="211.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" strokecolor="black [3213]"/>
                  </w:pict>
                </mc:Fallback>
              </mc:AlternateContent>
            </w:r>
            <w:r>
              <w:rPr>
                <w:i/>
              </w:rPr>
              <w:t>Hưng Yên, ngày      tháng     năm 2026</w:t>
            </w:r>
          </w:p>
        </w:tc>
      </w:tr>
    </w:tbl>
    <w:p w:rsidR="00563E90" w:rsidRDefault="00563E90" w:rsidP="00563E90">
      <w:pPr>
        <w:keepNext/>
        <w:spacing w:line="240" w:lineRule="auto"/>
        <w:jc w:val="center"/>
        <w:rPr>
          <w:b/>
          <w:szCs w:val="28"/>
        </w:rPr>
      </w:pPr>
    </w:p>
    <w:p w:rsidR="00A72C48" w:rsidRPr="00563E90" w:rsidRDefault="00B46E6A" w:rsidP="002A04BB">
      <w:pPr>
        <w:keepNext/>
        <w:spacing w:before="120" w:line="240" w:lineRule="auto"/>
        <w:jc w:val="center"/>
        <w:rPr>
          <w:szCs w:val="28"/>
        </w:rPr>
      </w:pPr>
      <w:r w:rsidRPr="00563E90">
        <w:rPr>
          <w:b/>
          <w:szCs w:val="28"/>
        </w:rPr>
        <w:t>QUYẾT ĐỊNH</w:t>
      </w:r>
    </w:p>
    <w:p w:rsidR="00A72C48" w:rsidRDefault="00B46E6A" w:rsidP="00563E90">
      <w:pPr>
        <w:keepNext/>
        <w:spacing w:line="240" w:lineRule="auto"/>
        <w:jc w:val="center"/>
        <w:rPr>
          <w:b/>
          <w:szCs w:val="28"/>
        </w:rPr>
      </w:pPr>
      <w:r w:rsidRPr="00563E90">
        <w:rPr>
          <w:b/>
          <w:szCs w:val="28"/>
        </w:rPr>
        <w:t>Về việc công khai thủ tục hành chính được sửa đổi, bổ sung</w:t>
      </w:r>
      <w:r w:rsidRPr="00563E90">
        <w:rPr>
          <w:b/>
          <w:szCs w:val="28"/>
        </w:rPr>
        <w:br/>
        <w:t xml:space="preserve">và thủ tục hành chính bị </w:t>
      </w:r>
      <w:r w:rsidRPr="00563E90">
        <w:rPr>
          <w:b/>
          <w:szCs w:val="28"/>
        </w:rPr>
        <w:t>bãi bỏ trong lĩnh vực cai nghiện ma túy</w:t>
      </w:r>
      <w:r w:rsidRPr="00563E90">
        <w:rPr>
          <w:b/>
          <w:szCs w:val="28"/>
        </w:rPr>
        <w:br/>
        <w:t>thuộc thẩm quyền giải quyết của C</w:t>
      </w:r>
      <w:r w:rsidRPr="00563E90">
        <w:rPr>
          <w:b/>
          <w:szCs w:val="28"/>
        </w:rPr>
        <w:t>ông an tỉnh Hưng Yên</w:t>
      </w:r>
    </w:p>
    <w:p w:rsidR="00563E90" w:rsidRDefault="00563E90" w:rsidP="00563E90">
      <w:pPr>
        <w:keepNext/>
        <w:spacing w:line="240" w:lineRule="auto"/>
        <w:jc w:val="center"/>
      </w:pPr>
      <w:r>
        <w:rPr>
          <w:b/>
          <w:noProof/>
          <w:sz w:val="26"/>
          <w:szCs w:val="26"/>
        </w:rPr>
        <mc:AlternateContent>
          <mc:Choice Requires="wps">
            <w:drawing>
              <wp:anchor distT="0" distB="0" distL="114300" distR="114300" simplePos="0" relativeHeight="251657728" behindDoc="0" locked="0" layoutInCell="1" allowOverlap="1" wp14:anchorId="1DE2E10E" wp14:editId="23E0A058">
                <wp:simplePos x="0" y="0"/>
                <wp:positionH relativeFrom="column">
                  <wp:posOffset>1888651</wp:posOffset>
                </wp:positionH>
                <wp:positionV relativeFrom="paragraph">
                  <wp:posOffset>37001</wp:posOffset>
                </wp:positionV>
                <wp:extent cx="1945640" cy="0"/>
                <wp:effectExtent l="0" t="0" r="35560" b="19050"/>
                <wp:wrapNone/>
                <wp:docPr id="40" name="Straight Connector 40"/>
                <wp:cNvGraphicFramePr/>
                <a:graphic xmlns:a="http://schemas.openxmlformats.org/drawingml/2006/main">
                  <a:graphicData uri="http://schemas.microsoft.com/office/word/2010/wordprocessingShape">
                    <wps:wsp>
                      <wps:cNvCnPr/>
                      <wps:spPr>
                        <a:xfrm flipV="1">
                          <a:off x="0" y="0"/>
                          <a:ext cx="194564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4090B" id="Straight Connector 40"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pt,2.9pt" to="301.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" strokecolor="black [3213]"/>
            </w:pict>
          </mc:Fallback>
        </mc:AlternateContent>
      </w:r>
    </w:p>
    <w:p w:rsidR="00A72C48" w:rsidRDefault="00B46E6A" w:rsidP="00563E90">
      <w:pPr>
        <w:keepNext/>
        <w:spacing w:before="120" w:after="120" w:line="360" w:lineRule="exact"/>
        <w:jc w:val="center"/>
      </w:pPr>
      <w:r>
        <w:rPr>
          <w:b/>
        </w:rPr>
        <w:t>GIÁM ĐỐC CÔNG AN TỈNH HƯNG YÊN</w:t>
      </w:r>
    </w:p>
    <w:p w:rsidR="00A72C48" w:rsidRDefault="00B46E6A" w:rsidP="00563E90">
      <w:pPr>
        <w:spacing w:before="120" w:after="120" w:line="360" w:lineRule="exact"/>
        <w:ind w:firstLine="709"/>
        <w:jc w:val="both"/>
      </w:pPr>
      <w:r>
        <w:rPr>
          <w:i/>
        </w:rPr>
        <w:t>Căn cứ Nghị định số 63/2010/NĐ-CP ngày 08 tháng 6 năm 2010 của Chính phủ về kiểm soát thủ tục hành chính; Nghị định số 4</w:t>
      </w:r>
      <w:r>
        <w:rPr>
          <w:i/>
        </w:rPr>
        <w:t>8/2013/NĐ-CP ngày 14 tháng 5 năm 2013 và Nghị định số 92/2017/NĐ-CP ngày 07 tháng 8 năm 2017 của Chính phủ sửa đổi, bổ sung một số điều của các nghị định liên quan đến kiểm soát thủ tục hành chính;</w:t>
      </w:r>
    </w:p>
    <w:p w:rsidR="00A72C48" w:rsidRDefault="00B46E6A" w:rsidP="00563E90">
      <w:pPr>
        <w:spacing w:before="120" w:after="120" w:line="360" w:lineRule="exact"/>
        <w:ind w:firstLine="709"/>
        <w:jc w:val="both"/>
      </w:pPr>
      <w:r>
        <w:rPr>
          <w:i/>
        </w:rPr>
        <w:t>Căn cứ Nghị định số 45/2020/NĐ-CP ngày 08 tháng 4 năm 2020</w:t>
      </w:r>
      <w:r>
        <w:rPr>
          <w:i/>
        </w:rPr>
        <w:t xml:space="preserve"> của Chính phủ về thực hiện thủ tục hành chính trên môi trường điện tử;</w:t>
      </w:r>
    </w:p>
    <w:p w:rsidR="00A72C48" w:rsidRDefault="00B46E6A" w:rsidP="00563E90">
      <w:pPr>
        <w:spacing w:before="120" w:after="120" w:line="360" w:lineRule="exact"/>
        <w:ind w:firstLine="709"/>
        <w:jc w:val="both"/>
      </w:pPr>
      <w:r>
        <w:rPr>
          <w:i/>
        </w:rPr>
        <w:t>Căn cứ Nghị định số 118/2025/NĐ-CP ngày 09 tháng 6 năm 2025 của Chính phủ về thực hiện thủ tục hành chính theo cơ chế một cửa, một cửa liên thông tại Bộ phận Một cửa và Cổng Dịch vụ cô</w:t>
      </w:r>
      <w:r>
        <w:rPr>
          <w:i/>
        </w:rPr>
        <w:t>ng quốc gia; Nghị định số 367/2025/NĐ-CP ngày 31 tháng 12 năm 2025 của Chính phủ sửa đổi, bổ sung một số điều của Nghị định số 118/2025/NĐ-CP;</w:t>
      </w:r>
    </w:p>
    <w:p w:rsidR="00A72C48" w:rsidRDefault="00B46E6A" w:rsidP="00563E90">
      <w:pPr>
        <w:spacing w:before="120" w:after="120" w:line="360" w:lineRule="exact"/>
        <w:ind w:firstLine="709"/>
        <w:jc w:val="both"/>
      </w:pPr>
      <w:r>
        <w:rPr>
          <w:i/>
        </w:rPr>
        <w:t>Căn cứ Nghị định số 163/2026/NĐ-CP ngày 15 tháng 5 năm 2026 của Chính phủ quy định chi tiết và hướng dẫn thi hành</w:t>
      </w:r>
      <w:r>
        <w:rPr>
          <w:i/>
        </w:rPr>
        <w:t xml:space="preserve"> một số điều của Luật Phòng, chống ma túy;</w:t>
      </w:r>
    </w:p>
    <w:p w:rsidR="00A72C48" w:rsidRDefault="00B46E6A" w:rsidP="00563E90">
      <w:pPr>
        <w:spacing w:before="120" w:after="120" w:line="360" w:lineRule="exact"/>
        <w:ind w:firstLine="709"/>
        <w:jc w:val="both"/>
      </w:pPr>
      <w:r>
        <w:rPr>
          <w:i/>
        </w:rPr>
        <w:t>Căn cứ Thông tư số 02/2017/TT-VPCP ngày 31 tháng 10 năm 2017 của Bộ trưởng, Chủ nhiệm Văn phòng Chính phủ hướng dẫn về nghiệp vụ kiểm soát thủ tục hành chính;</w:t>
      </w:r>
    </w:p>
    <w:p w:rsidR="00A72C48" w:rsidRDefault="00B46E6A" w:rsidP="00563E90">
      <w:pPr>
        <w:spacing w:before="120" w:after="120" w:line="360" w:lineRule="exact"/>
        <w:ind w:firstLine="709"/>
        <w:jc w:val="both"/>
      </w:pPr>
      <w:r>
        <w:rPr>
          <w:i/>
        </w:rPr>
        <w:t>Căn cứ Thông tư số 09/2025/TT-BCA ngày 25 tháng 02 năm</w:t>
      </w:r>
      <w:r>
        <w:rPr>
          <w:i/>
        </w:rPr>
        <w:t xml:space="preserve"> 2025 của Bộ trưởng Bộ Công an quy định chức năng, nhiệm vụ, quyền hạn và tổ chức bộ máy của Công an tỉnh, thành phố trực thuộc Trung ương;</w:t>
      </w:r>
    </w:p>
    <w:p w:rsidR="00A72C48" w:rsidRDefault="00B46E6A" w:rsidP="00563E90">
      <w:pPr>
        <w:spacing w:before="120" w:after="120" w:line="360" w:lineRule="exact"/>
        <w:ind w:firstLine="709"/>
        <w:jc w:val="both"/>
      </w:pPr>
      <w:r>
        <w:rPr>
          <w:i/>
        </w:rPr>
        <w:t xml:space="preserve">Căn cứ Quyết định số 4960/QĐ-BCA ngày 06 tháng 8 năm 2026 của Bộ trưởng Bộ Công an về việc công bố danh mục thủ tục </w:t>
      </w:r>
      <w:r>
        <w:rPr>
          <w:i/>
        </w:rPr>
        <w:t>hành chính được sửa đổi, bổ sung và bị bãi bỏ trong lĩnh vực cai nghiện ma túy thuộc phạm vi quản lý nhà nước của Bộ Công an;</w:t>
      </w:r>
    </w:p>
    <w:p w:rsidR="00A72C48" w:rsidRDefault="00B46E6A" w:rsidP="00563E90">
      <w:pPr>
        <w:spacing w:before="120" w:after="120" w:line="360" w:lineRule="exact"/>
        <w:ind w:firstLine="709"/>
        <w:jc w:val="both"/>
      </w:pPr>
      <w:r>
        <w:rPr>
          <w:i/>
        </w:rPr>
        <w:t>Theo đề nghị của đồng chí Trưởng phòng Tham mưu.</w:t>
      </w:r>
    </w:p>
    <w:p w:rsidR="00A72C48" w:rsidRDefault="00B46E6A" w:rsidP="00163C03">
      <w:pPr>
        <w:keepNext/>
        <w:spacing w:before="120" w:after="120" w:line="360" w:lineRule="exact"/>
        <w:jc w:val="center"/>
      </w:pPr>
      <w:r>
        <w:rPr>
          <w:b/>
        </w:rPr>
        <w:lastRenderedPageBreak/>
        <w:t>QUYẾT ĐỊNH:</w:t>
      </w:r>
    </w:p>
    <w:p w:rsidR="00A72C48" w:rsidRDefault="00B46E6A" w:rsidP="00563E90">
      <w:pPr>
        <w:spacing w:before="120" w:after="120" w:line="360" w:lineRule="exact"/>
        <w:ind w:firstLine="709"/>
        <w:jc w:val="both"/>
      </w:pPr>
      <w:r>
        <w:rPr>
          <w:b/>
        </w:rPr>
        <w:t xml:space="preserve">Điều 1. </w:t>
      </w:r>
      <w:r>
        <w:t>Công khai kèm theo Quyết định này danh mục 06 thủ tục hành ch</w:t>
      </w:r>
      <w:r>
        <w:t>ính được sửa đổi, bổ sung và 01 thủ tục hành chính bị bãi bỏ trong lĩnh vực cai nghiện ma túy thuộc thẩm quyền giải quyết của Công an tỉnh Hưng Yên (danh mục và nội dung cụ thể kèm theo).</w:t>
      </w:r>
    </w:p>
    <w:p w:rsidR="00A72C48" w:rsidRDefault="00B46E6A" w:rsidP="00563E90">
      <w:pPr>
        <w:spacing w:before="120" w:after="120" w:line="360" w:lineRule="exact"/>
        <w:ind w:firstLine="709"/>
        <w:jc w:val="both"/>
      </w:pPr>
      <w:r>
        <w:rPr>
          <w:b/>
        </w:rPr>
        <w:t xml:space="preserve">Điều 2. </w:t>
      </w:r>
      <w:r>
        <w:t>Phòng Tham mưu chủ trì, phối hợp với Phòng Cảnh sát điều tra</w:t>
      </w:r>
      <w:r>
        <w:t xml:space="preserve"> tội phạm về ma túy thực hiện công khai Quyết định này trên Cổng thông tin điện tử Công an tỉnh; Phòng Cảnh sát điều tra tội phạm về ma túy và Công an các xã, phường thực hiện niêm yết, công khai, tổ chức tiếp nhận, giải quyết thủ tục hành chính theo chức </w:t>
      </w:r>
      <w:r>
        <w:t>năng, nhiệm vụ và quy định</w:t>
      </w:r>
      <w:r>
        <w:t>.</w:t>
      </w:r>
    </w:p>
    <w:p w:rsidR="00A72C48" w:rsidRDefault="00B46E6A" w:rsidP="00563E90">
      <w:pPr>
        <w:spacing w:before="120" w:after="120" w:line="360" w:lineRule="exact"/>
        <w:ind w:firstLine="709"/>
        <w:jc w:val="both"/>
      </w:pPr>
      <w:r>
        <w:rPr>
          <w:b/>
        </w:rPr>
        <w:t xml:space="preserve">Điều 3. </w:t>
      </w:r>
      <w:r>
        <w:t>Quyết định này có hiệu lực thi hành kể từ ngày ký.</w:t>
      </w:r>
    </w:p>
    <w:p w:rsidR="00A72C48" w:rsidRDefault="00B46E6A" w:rsidP="00163C03">
      <w:pPr>
        <w:spacing w:before="120" w:after="360" w:line="360" w:lineRule="exact"/>
        <w:ind w:firstLine="709"/>
        <w:jc w:val="both"/>
      </w:pPr>
      <w:r>
        <w:rPr>
          <w:b/>
        </w:rPr>
        <w:t xml:space="preserve">Điều 4. </w:t>
      </w:r>
      <w:r>
        <w:t xml:space="preserve">Các đồng chí Trưởng phòng Tham mưu, Trưởng phòng Cảnh sát điều tra tội phạm về ma túy, Trưởng Công an các xã, phường và các cơ quan, tổ chức, cá </w:t>
      </w:r>
      <w:r>
        <w:t>nhân có liên quan chịu trách nhiệm thi hành Quyết định này./.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4535"/>
      </w:tblGrid>
      <w:tr w:rsidR="00A72C48" w:rsidTr="00163C03">
        <w:trPr>
          <w:jc w:val="center"/>
        </w:trPr>
        <w:tc>
          <w:tcPr>
            <w:tcW w:w="5102" w:type="dxa"/>
          </w:tcPr>
          <w:p w:rsidR="00A72C48" w:rsidRDefault="00B46E6A" w:rsidP="00163C03">
            <w:r>
              <w:rPr>
                <w:b/>
                <w:i/>
                <w:sz w:val="24"/>
              </w:rPr>
              <w:t>Nơi nhận:</w:t>
            </w:r>
          </w:p>
          <w:p w:rsidR="00A72C48" w:rsidRPr="00163C03" w:rsidRDefault="00B46E6A" w:rsidP="00163C03">
            <w:pPr>
              <w:spacing w:line="240" w:lineRule="auto"/>
              <w:rPr>
                <w:sz w:val="24"/>
              </w:rPr>
            </w:pPr>
            <w:r w:rsidRPr="00163C03">
              <w:rPr>
                <w:sz w:val="22"/>
              </w:rPr>
              <w:t>- C04 - Bộ Công an;</w:t>
            </w:r>
          </w:p>
          <w:p w:rsidR="00A72C48" w:rsidRPr="00163C03" w:rsidRDefault="00B46E6A" w:rsidP="00163C03">
            <w:pPr>
              <w:spacing w:line="240" w:lineRule="auto"/>
              <w:rPr>
                <w:sz w:val="24"/>
              </w:rPr>
            </w:pPr>
            <w:r w:rsidRPr="00163C03">
              <w:rPr>
                <w:sz w:val="22"/>
              </w:rPr>
              <w:t>- V03 - Bộ Công an;</w:t>
            </w:r>
          </w:p>
          <w:p w:rsidR="00A72C48" w:rsidRPr="00163C03" w:rsidRDefault="00B46E6A" w:rsidP="00163C03">
            <w:pPr>
              <w:spacing w:line="240" w:lineRule="auto"/>
              <w:rPr>
                <w:sz w:val="24"/>
              </w:rPr>
            </w:pPr>
            <w:r w:rsidRPr="00163C03">
              <w:rPr>
                <w:sz w:val="22"/>
              </w:rPr>
              <w:t>- Đ/c Giám đốc Công an tỉnh;</w:t>
            </w:r>
          </w:p>
          <w:p w:rsidR="00A72C48" w:rsidRPr="00163C03" w:rsidRDefault="00B46E6A" w:rsidP="00163C03">
            <w:pPr>
              <w:spacing w:line="240" w:lineRule="auto"/>
              <w:rPr>
                <w:sz w:val="24"/>
              </w:rPr>
            </w:pPr>
            <w:r w:rsidRPr="00163C03">
              <w:rPr>
                <w:sz w:val="22"/>
              </w:rPr>
              <w:t>- Các đ/c Phó Giám đốc Công an tỉnh;</w:t>
            </w:r>
          </w:p>
          <w:p w:rsidR="00A72C48" w:rsidRPr="00163C03" w:rsidRDefault="00B46E6A" w:rsidP="00163C03">
            <w:pPr>
              <w:spacing w:line="240" w:lineRule="auto"/>
              <w:rPr>
                <w:sz w:val="24"/>
              </w:rPr>
            </w:pPr>
            <w:r w:rsidRPr="00163C03">
              <w:rPr>
                <w:sz w:val="22"/>
              </w:rPr>
              <w:t>- Như Điều 4;</w:t>
            </w:r>
          </w:p>
          <w:p w:rsidR="00A72C48" w:rsidRDefault="00B46E6A" w:rsidP="00163C03">
            <w:pPr>
              <w:spacing w:line="240" w:lineRule="auto"/>
            </w:pPr>
            <w:r w:rsidRPr="00163C03">
              <w:rPr>
                <w:sz w:val="22"/>
              </w:rPr>
              <w:t>- Lưu: VT, PV01 (Đ6).</w:t>
            </w:r>
          </w:p>
        </w:tc>
        <w:tc>
          <w:tcPr>
            <w:tcW w:w="4535" w:type="dxa"/>
            <w:vAlign w:val="center"/>
          </w:tcPr>
          <w:p w:rsidR="00A72C48" w:rsidRDefault="00B46E6A" w:rsidP="00163C03">
            <w:pPr>
              <w:jc w:val="center"/>
            </w:pPr>
            <w:r>
              <w:rPr>
                <w:b/>
              </w:rPr>
              <w:t>KT. GIÁM ĐỐC</w:t>
            </w:r>
          </w:p>
          <w:p w:rsidR="00A72C48" w:rsidRDefault="00B46E6A" w:rsidP="00163C03">
            <w:pPr>
              <w:jc w:val="center"/>
            </w:pPr>
            <w:r>
              <w:rPr>
                <w:b/>
              </w:rPr>
              <w:t>PHÓ GIÁM ĐỐC</w:t>
            </w:r>
          </w:p>
          <w:p w:rsidR="00A72C48" w:rsidRDefault="00A72C48" w:rsidP="00163C03">
            <w:pPr>
              <w:jc w:val="center"/>
            </w:pPr>
          </w:p>
          <w:p w:rsidR="00A72C48" w:rsidRDefault="00A72C48" w:rsidP="00163C03">
            <w:pPr>
              <w:jc w:val="center"/>
            </w:pPr>
          </w:p>
          <w:p w:rsidR="00A72C48" w:rsidRDefault="00A72C48" w:rsidP="00163C03">
            <w:pPr>
              <w:jc w:val="center"/>
            </w:pPr>
          </w:p>
          <w:p w:rsidR="00A72C48" w:rsidRDefault="00A72C48" w:rsidP="00163C03">
            <w:pPr>
              <w:jc w:val="center"/>
            </w:pPr>
          </w:p>
          <w:p w:rsidR="00A72C48" w:rsidRDefault="00A72C48" w:rsidP="00163C03">
            <w:pPr>
              <w:jc w:val="center"/>
            </w:pPr>
          </w:p>
          <w:p w:rsidR="00A72C48" w:rsidRDefault="00B46E6A" w:rsidP="00163C03">
            <w:pPr>
              <w:jc w:val="center"/>
            </w:pPr>
            <w:r>
              <w:rPr>
                <w:b/>
              </w:rPr>
              <w:t>Thượng</w:t>
            </w:r>
            <w:r>
              <w:rPr>
                <w:b/>
              </w:rPr>
              <w:t xml:space="preserve"> tá Nguyễn Thái Hợp</w:t>
            </w:r>
          </w:p>
        </w:tc>
      </w:tr>
    </w:tbl>
    <w:p w:rsidR="00A72C48" w:rsidRDefault="00B46E6A">
      <w:r>
        <w:br w:type="page"/>
      </w:r>
    </w:p>
    <w:p w:rsidR="00A72C48" w:rsidRPr="000823B8" w:rsidRDefault="00B46E6A">
      <w:pPr>
        <w:keepNext/>
        <w:spacing w:after="20" w:line="240" w:lineRule="auto"/>
        <w:jc w:val="center"/>
        <w:rPr>
          <w:szCs w:val="28"/>
        </w:rPr>
      </w:pPr>
      <w:r w:rsidRPr="000823B8">
        <w:rPr>
          <w:b/>
          <w:szCs w:val="28"/>
        </w:rPr>
        <w:lastRenderedPageBreak/>
        <w:t>DANH MỤC, NỘI DUNG CỤ THỂ</w:t>
      </w:r>
    </w:p>
    <w:p w:rsidR="00A72C48" w:rsidRPr="000823B8" w:rsidRDefault="00B46E6A">
      <w:pPr>
        <w:keepNext/>
        <w:spacing w:after="40" w:line="252" w:lineRule="auto"/>
        <w:jc w:val="center"/>
        <w:rPr>
          <w:spacing w:val="-4"/>
          <w:szCs w:val="28"/>
        </w:rPr>
      </w:pPr>
      <w:r w:rsidRPr="000823B8">
        <w:rPr>
          <w:b/>
          <w:spacing w:val="-4"/>
          <w:szCs w:val="28"/>
        </w:rPr>
        <w:t>THỦ TỤC HÀNH CHÍNH ĐƯỢC SỬA ĐỔI, BỔ SUNG VÀ THỦ TỤC HÀNH CHÍNH BỊ BÃI BỎ TRONG LĨNH VỰC CAI NGHIỆN MA TÚY THUỘC THẨM QUYỀN GIẢI QUYẾT CỦA CÔNG AN TỈNH HƯNG YÊN</w:t>
      </w:r>
    </w:p>
    <w:p w:rsidR="00A72C48" w:rsidRDefault="000823B8">
      <w:pPr>
        <w:keepNext/>
        <w:spacing w:after="140" w:line="252" w:lineRule="auto"/>
        <w:jc w:val="center"/>
        <w:rPr>
          <w:i/>
          <w:szCs w:val="28"/>
        </w:rPr>
      </w:pPr>
      <w:r w:rsidRPr="000823B8">
        <w:rPr>
          <w:b/>
          <w:noProof/>
          <w:szCs w:val="28"/>
        </w:rPr>
        <mc:AlternateContent>
          <mc:Choice Requires="wps">
            <w:drawing>
              <wp:anchor distT="0" distB="0" distL="114300" distR="114300" simplePos="0" relativeHeight="251658752" behindDoc="0" locked="0" layoutInCell="1" allowOverlap="1" wp14:anchorId="22963E14" wp14:editId="78D8427B">
                <wp:simplePos x="0" y="0"/>
                <wp:positionH relativeFrom="column">
                  <wp:posOffset>1889184</wp:posOffset>
                </wp:positionH>
                <wp:positionV relativeFrom="paragraph">
                  <wp:posOffset>423677</wp:posOffset>
                </wp:positionV>
                <wp:extent cx="1945640" cy="0"/>
                <wp:effectExtent l="0" t="0" r="35560" b="19050"/>
                <wp:wrapNone/>
                <wp:docPr id="41" name="Straight Connector 41"/>
                <wp:cNvGraphicFramePr/>
                <a:graphic xmlns:a="http://schemas.openxmlformats.org/drawingml/2006/main">
                  <a:graphicData uri="http://schemas.microsoft.com/office/word/2010/wordprocessingShape">
                    <wps:wsp>
                      <wps:cNvCnPr/>
                      <wps:spPr>
                        <a:xfrm flipV="1">
                          <a:off x="0" y="0"/>
                          <a:ext cx="194564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C4974D" id="Straight Connector 4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5pt,33.35pt" to="301.9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" strokecolor="black [3213]"/>
            </w:pict>
          </mc:Fallback>
        </mc:AlternateContent>
      </w:r>
      <w:r w:rsidR="00B46E6A" w:rsidRPr="000823B8">
        <w:rPr>
          <w:i/>
          <w:szCs w:val="28"/>
        </w:rPr>
        <w:t xml:space="preserve">(Ban hành kèm theo Quyết định số       </w:t>
      </w:r>
      <w:r w:rsidR="00B46E6A" w:rsidRPr="000823B8">
        <w:rPr>
          <w:i/>
          <w:szCs w:val="28"/>
        </w:rPr>
        <w:t>/QĐ-CAT-PV01 ngày     tháng     năm 2026 của Giám đốc Công an tỉnh Hưng Yên)</w:t>
      </w:r>
    </w:p>
    <w:p w:rsidR="000823B8" w:rsidRDefault="000823B8">
      <w:pPr>
        <w:keepNext/>
        <w:spacing w:after="140" w:line="252" w:lineRule="auto"/>
        <w:jc w:val="center"/>
      </w:pPr>
    </w:p>
    <w:p w:rsidR="00A72C48" w:rsidRPr="004D566D" w:rsidRDefault="00B46E6A">
      <w:pPr>
        <w:keepNext/>
        <w:spacing w:after="100" w:line="252" w:lineRule="auto"/>
        <w:jc w:val="center"/>
        <w:rPr>
          <w:rFonts w:cs="Times New Roman"/>
          <w:szCs w:val="28"/>
        </w:rPr>
      </w:pPr>
      <w:r w:rsidRPr="004D566D">
        <w:rPr>
          <w:rFonts w:cs="Times New Roman"/>
          <w:b/>
          <w:szCs w:val="28"/>
        </w:rPr>
        <w:t>PHẦN I. DANH MỤC THỦ TỤC HÀNH CHÍNH</w:t>
      </w:r>
    </w:p>
    <w:p w:rsidR="00A72C48" w:rsidRPr="004D566D" w:rsidRDefault="00B46E6A">
      <w:pPr>
        <w:keepNext/>
        <w:spacing w:after="60" w:line="252" w:lineRule="auto"/>
        <w:rPr>
          <w:rFonts w:cs="Times New Roman"/>
          <w:szCs w:val="28"/>
        </w:rPr>
      </w:pPr>
      <w:r w:rsidRPr="004D566D">
        <w:rPr>
          <w:rFonts w:cs="Times New Roman"/>
          <w:b/>
          <w:szCs w:val="28"/>
        </w:rPr>
        <w:t>1. Danh mục thủ tục hành chính được sửa đổi, bổ sung</w:t>
      </w:r>
    </w:p>
    <w:tbl>
      <w:tblPr>
        <w:tblStyle w:val="TableGrid"/>
        <w:tblW w:w="9924"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672"/>
        <w:gridCol w:w="1276"/>
        <w:gridCol w:w="3212"/>
        <w:gridCol w:w="1559"/>
        <w:gridCol w:w="899"/>
        <w:gridCol w:w="2296"/>
        <w:gridCol w:w="10"/>
      </w:tblGrid>
      <w:tr w:rsidR="00A72C48" w:rsidRPr="004D566D" w:rsidTr="0018137F">
        <w:trPr>
          <w:gridAfter w:val="1"/>
          <w:wAfter w:w="10" w:type="dxa"/>
          <w:tblHeader/>
          <w:jc w:val="center"/>
        </w:trPr>
        <w:tc>
          <w:tcPr>
            <w:tcW w:w="672"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STT</w:t>
            </w:r>
          </w:p>
        </w:tc>
        <w:tc>
          <w:tcPr>
            <w:tcW w:w="1276"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Mã số TTHC</w:t>
            </w:r>
          </w:p>
        </w:tc>
        <w:tc>
          <w:tcPr>
            <w:tcW w:w="3212"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thủ tục hành chính</w:t>
            </w:r>
          </w:p>
        </w:tc>
        <w:tc>
          <w:tcPr>
            <w:tcW w:w="1559"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VBQPPL quy định TTHC</w:t>
            </w:r>
          </w:p>
        </w:tc>
        <w:tc>
          <w:tcPr>
            <w:tcW w:w="899"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Lĩnh vực</w:t>
            </w:r>
          </w:p>
        </w:tc>
        <w:tc>
          <w:tcPr>
            <w:tcW w:w="2296"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Cơ quan thực hiện</w:t>
            </w:r>
          </w:p>
        </w:tc>
      </w:tr>
      <w:tr w:rsidR="00A72C48" w:rsidRPr="004D566D" w:rsidTr="0018137F">
        <w:trPr>
          <w:jc w:val="center"/>
        </w:trPr>
        <w:tc>
          <w:tcPr>
            <w:tcW w:w="9924" w:type="dxa"/>
            <w:gridSpan w:val="7"/>
            <w:tcMar>
              <w:top w:w="80" w:type="dxa"/>
              <w:left w:w="80" w:type="dxa"/>
              <w:bottom w:w="80" w:type="dxa"/>
              <w:right w:w="80" w:type="dxa"/>
            </w:tcMar>
            <w:vAlign w:val="center"/>
          </w:tcPr>
          <w:p w:rsidR="00A72C48" w:rsidRPr="004D566D" w:rsidRDefault="00B46E6A">
            <w:pPr>
              <w:spacing w:line="252" w:lineRule="auto"/>
              <w:rPr>
                <w:rFonts w:cs="Times New Roman"/>
                <w:szCs w:val="28"/>
              </w:rPr>
            </w:pPr>
            <w:r w:rsidRPr="004D566D">
              <w:rPr>
                <w:rFonts w:cs="Times New Roman"/>
                <w:b/>
                <w:szCs w:val="28"/>
              </w:rPr>
              <w:t>A. THỦ TỤC HÀNH CHÍNH CẤP TỈNH</w:t>
            </w:r>
          </w:p>
        </w:tc>
      </w:tr>
      <w:tr w:rsidR="00A72C48" w:rsidRPr="004D566D" w:rsidTr="0018137F">
        <w:trPr>
          <w:gridAfter w:val="1"/>
          <w:wAfter w:w="10" w:type="dxa"/>
          <w:cantSplit/>
          <w:jc w:val="center"/>
        </w:trPr>
        <w:tc>
          <w:tcPr>
            <w:tcW w:w="67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1</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3.000521</w:t>
            </w:r>
          </w:p>
        </w:tc>
        <w:tc>
          <w:tcPr>
            <w:tcW w:w="3212"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Cấp giấy phép hoạt động của cơ sở cai nghiện ma túy tư nhân</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89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29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Phòng Cảnh sát điều tra tội phạm về ma túy, Công an tỉnh Hưng Yên</w:t>
            </w:r>
          </w:p>
        </w:tc>
      </w:tr>
      <w:tr w:rsidR="00A72C48" w:rsidRPr="004D566D" w:rsidTr="0018137F">
        <w:trPr>
          <w:gridAfter w:val="1"/>
          <w:wAfter w:w="10" w:type="dxa"/>
          <w:cantSplit/>
          <w:jc w:val="center"/>
        </w:trPr>
        <w:tc>
          <w:tcPr>
            <w:tcW w:w="67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2</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3.000522</w:t>
            </w:r>
          </w:p>
        </w:tc>
        <w:tc>
          <w:tcPr>
            <w:tcW w:w="3212"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 xml:space="preserve">Cấp lại giấy phép hoạt động </w:t>
            </w:r>
            <w:r w:rsidRPr="004D566D">
              <w:rPr>
                <w:rFonts w:cs="Times New Roman"/>
                <w:szCs w:val="28"/>
              </w:rPr>
              <w:t>của cơ sở cai nghiện ma túy tư nhân</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89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29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Phòng Cảnh sát điều tra tội phạm về ma túy, Công an tỉnh Hưng Yên</w:t>
            </w:r>
          </w:p>
        </w:tc>
      </w:tr>
      <w:tr w:rsidR="00A72C48" w:rsidRPr="004D566D" w:rsidTr="0018137F">
        <w:trPr>
          <w:gridAfter w:val="1"/>
          <w:wAfter w:w="10" w:type="dxa"/>
          <w:cantSplit/>
          <w:jc w:val="center"/>
        </w:trPr>
        <w:tc>
          <w:tcPr>
            <w:tcW w:w="67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3.000523</w:t>
            </w:r>
          </w:p>
        </w:tc>
        <w:tc>
          <w:tcPr>
            <w:tcW w:w="3212"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Thu hồi giấy phép hoạt động của cơ sở cai nghiện ma túy tư nhân</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89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 xml:space="preserve">Cai </w:t>
            </w:r>
            <w:r w:rsidRPr="004D566D">
              <w:rPr>
                <w:rFonts w:cs="Times New Roman"/>
                <w:szCs w:val="28"/>
              </w:rPr>
              <w:t>nghiện ma túy</w:t>
            </w:r>
          </w:p>
        </w:tc>
        <w:tc>
          <w:tcPr>
            <w:tcW w:w="229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Phòng Cảnh sát điều tra tội phạm về ma túy, Công an tỉnh Hưng Yên</w:t>
            </w:r>
          </w:p>
        </w:tc>
      </w:tr>
      <w:tr w:rsidR="00A72C48" w:rsidRPr="004D566D" w:rsidTr="0018137F">
        <w:trPr>
          <w:gridAfter w:val="1"/>
          <w:wAfter w:w="10" w:type="dxa"/>
          <w:cantSplit/>
          <w:jc w:val="center"/>
        </w:trPr>
        <w:tc>
          <w:tcPr>
            <w:tcW w:w="67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4</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3.000524</w:t>
            </w:r>
          </w:p>
        </w:tc>
        <w:tc>
          <w:tcPr>
            <w:tcW w:w="3212"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Công bố tổ chức, cá nhân đủ điều kiện cung cấp dịch vụ cai nghiện ma túy tự nguyện tại gia đình, cộng đồng</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89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29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 xml:space="preserve">Phòng Cảnh </w:t>
            </w:r>
            <w:r w:rsidRPr="004D566D">
              <w:rPr>
                <w:rFonts w:cs="Times New Roman"/>
                <w:szCs w:val="28"/>
              </w:rPr>
              <w:t>sát điều tra tội phạm về ma túy, Công an tỉnh Hưng Yên</w:t>
            </w:r>
          </w:p>
        </w:tc>
      </w:tr>
      <w:tr w:rsidR="00A72C48" w:rsidRPr="004D566D" w:rsidTr="0018137F">
        <w:trPr>
          <w:gridAfter w:val="1"/>
          <w:wAfter w:w="10" w:type="dxa"/>
          <w:cantSplit/>
          <w:jc w:val="center"/>
        </w:trPr>
        <w:tc>
          <w:tcPr>
            <w:tcW w:w="67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5</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3.000525</w:t>
            </w:r>
          </w:p>
        </w:tc>
        <w:tc>
          <w:tcPr>
            <w:tcW w:w="3212"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Công bố lại tổ chức, cá nhân cung cấp dịch vụ cai nghiện ma túy tự nguyện tại gia đình, cộng đồng</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89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29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 xml:space="preserve">Phòng Cảnh sát điều tra tội phạm về ma túy, </w:t>
            </w:r>
            <w:r w:rsidRPr="004D566D">
              <w:rPr>
                <w:rFonts w:cs="Times New Roman"/>
                <w:szCs w:val="28"/>
              </w:rPr>
              <w:t>Công an tỉnh Hưng Yên</w:t>
            </w:r>
          </w:p>
        </w:tc>
      </w:tr>
    </w:tbl>
    <w:p w:rsidR="00A72C48" w:rsidRPr="004D566D" w:rsidRDefault="00A72C48">
      <w:pPr>
        <w:spacing w:after="20"/>
        <w:jc w:val="both"/>
        <w:rPr>
          <w:rFonts w:cs="Times New Roman"/>
          <w:szCs w:val="28"/>
        </w:rPr>
      </w:pPr>
    </w:p>
    <w:tbl>
      <w:tblPr>
        <w:tblStyle w:val="TableGrid"/>
        <w:tblW w:w="9888"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851"/>
        <w:gridCol w:w="1205"/>
        <w:gridCol w:w="3033"/>
        <w:gridCol w:w="1559"/>
        <w:gridCol w:w="932"/>
        <w:gridCol w:w="2300"/>
        <w:gridCol w:w="8"/>
      </w:tblGrid>
      <w:tr w:rsidR="00A72C48" w:rsidRPr="004D566D" w:rsidTr="0018137F">
        <w:trPr>
          <w:gridAfter w:val="1"/>
          <w:wAfter w:w="8" w:type="dxa"/>
          <w:tblHeader/>
          <w:jc w:val="center"/>
        </w:trPr>
        <w:tc>
          <w:tcPr>
            <w:tcW w:w="851"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lastRenderedPageBreak/>
              <w:t>STT</w:t>
            </w:r>
          </w:p>
        </w:tc>
        <w:tc>
          <w:tcPr>
            <w:tcW w:w="1205"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Mã số TTHC</w:t>
            </w:r>
          </w:p>
        </w:tc>
        <w:tc>
          <w:tcPr>
            <w:tcW w:w="3033"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thủ tục hành chính</w:t>
            </w:r>
          </w:p>
        </w:tc>
        <w:tc>
          <w:tcPr>
            <w:tcW w:w="1559"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VBQPPL quy định TTHC</w:t>
            </w:r>
          </w:p>
        </w:tc>
        <w:tc>
          <w:tcPr>
            <w:tcW w:w="932"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Lĩnh vực</w:t>
            </w:r>
          </w:p>
        </w:tc>
        <w:tc>
          <w:tcPr>
            <w:tcW w:w="2300"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Cơ quan thực hiện</w:t>
            </w:r>
          </w:p>
        </w:tc>
      </w:tr>
      <w:tr w:rsidR="00A72C48" w:rsidRPr="004D566D" w:rsidTr="0018137F">
        <w:trPr>
          <w:jc w:val="center"/>
        </w:trPr>
        <w:tc>
          <w:tcPr>
            <w:tcW w:w="9888" w:type="dxa"/>
            <w:gridSpan w:val="7"/>
            <w:tcMar>
              <w:top w:w="80" w:type="dxa"/>
              <w:left w:w="80" w:type="dxa"/>
              <w:bottom w:w="80" w:type="dxa"/>
              <w:right w:w="80" w:type="dxa"/>
            </w:tcMar>
            <w:vAlign w:val="center"/>
          </w:tcPr>
          <w:p w:rsidR="00A72C48" w:rsidRPr="004D566D" w:rsidRDefault="00B46E6A">
            <w:pPr>
              <w:spacing w:line="252" w:lineRule="auto"/>
              <w:rPr>
                <w:rFonts w:cs="Times New Roman"/>
                <w:szCs w:val="28"/>
              </w:rPr>
            </w:pPr>
            <w:r w:rsidRPr="004D566D">
              <w:rPr>
                <w:rFonts w:cs="Times New Roman"/>
                <w:b/>
                <w:szCs w:val="28"/>
              </w:rPr>
              <w:t>B. THỦ TỤC HÀNH CHÍNH CẤP XÃ</w:t>
            </w:r>
          </w:p>
        </w:tc>
      </w:tr>
      <w:tr w:rsidR="00A72C48" w:rsidRPr="004D566D" w:rsidTr="0018137F">
        <w:trPr>
          <w:gridAfter w:val="1"/>
          <w:wAfter w:w="8" w:type="dxa"/>
          <w:cantSplit/>
          <w:jc w:val="center"/>
        </w:trPr>
        <w:tc>
          <w:tcPr>
            <w:tcW w:w="851"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1</w:t>
            </w:r>
          </w:p>
        </w:tc>
        <w:tc>
          <w:tcPr>
            <w:tcW w:w="1205"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3.000527</w:t>
            </w:r>
          </w:p>
        </w:tc>
        <w:tc>
          <w:tcPr>
            <w:tcW w:w="3033"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Đăng ký cai nghiện ma túy tự nguyện</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Nghị định số 163/2026/NĐ-CP</w:t>
            </w:r>
          </w:p>
        </w:tc>
        <w:tc>
          <w:tcPr>
            <w:tcW w:w="932"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300"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 xml:space="preserve">Công an các xã, </w:t>
            </w:r>
            <w:r w:rsidRPr="004D566D">
              <w:rPr>
                <w:rFonts w:cs="Times New Roman"/>
                <w:szCs w:val="28"/>
              </w:rPr>
              <w:t>phường</w:t>
            </w:r>
          </w:p>
        </w:tc>
      </w:tr>
    </w:tbl>
    <w:p w:rsidR="00E5188C" w:rsidRDefault="00E5188C">
      <w:pPr>
        <w:keepNext/>
        <w:spacing w:before="140" w:after="60" w:line="252" w:lineRule="auto"/>
        <w:rPr>
          <w:rFonts w:cs="Times New Roman"/>
          <w:b/>
          <w:szCs w:val="28"/>
        </w:rPr>
      </w:pPr>
    </w:p>
    <w:p w:rsidR="00E5188C" w:rsidRDefault="00E5188C">
      <w:pPr>
        <w:keepNext/>
        <w:spacing w:before="140" w:after="60" w:line="252" w:lineRule="auto"/>
        <w:rPr>
          <w:rFonts w:cs="Times New Roman"/>
          <w:b/>
          <w:szCs w:val="28"/>
        </w:rPr>
      </w:pPr>
    </w:p>
    <w:p w:rsidR="00A72C48" w:rsidRPr="004D566D" w:rsidRDefault="00B46E6A">
      <w:pPr>
        <w:keepNext/>
        <w:spacing w:before="140" w:after="60" w:line="252" w:lineRule="auto"/>
        <w:rPr>
          <w:rFonts w:cs="Times New Roman"/>
          <w:szCs w:val="28"/>
        </w:rPr>
      </w:pPr>
      <w:r w:rsidRPr="004D566D">
        <w:rPr>
          <w:rFonts w:cs="Times New Roman"/>
          <w:b/>
          <w:szCs w:val="28"/>
        </w:rPr>
        <w:t>2. Danh mục thủ tục hành chính bị bãi bỏ</w:t>
      </w:r>
    </w:p>
    <w:tbl>
      <w:tblPr>
        <w:tblStyle w:val="TableGrid"/>
        <w:tblW w:w="9841"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709"/>
        <w:gridCol w:w="1276"/>
        <w:gridCol w:w="3033"/>
        <w:gridCol w:w="1559"/>
        <w:gridCol w:w="966"/>
        <w:gridCol w:w="2298"/>
      </w:tblGrid>
      <w:tr w:rsidR="00A72C48" w:rsidRPr="004D566D" w:rsidTr="0018137F">
        <w:trPr>
          <w:tblHeader/>
          <w:jc w:val="center"/>
        </w:trPr>
        <w:tc>
          <w:tcPr>
            <w:tcW w:w="709"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STT</w:t>
            </w:r>
          </w:p>
        </w:tc>
        <w:tc>
          <w:tcPr>
            <w:tcW w:w="1276"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Mã số TTHC</w:t>
            </w:r>
          </w:p>
        </w:tc>
        <w:tc>
          <w:tcPr>
            <w:tcW w:w="3033"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thủ tục hành chính</w:t>
            </w:r>
          </w:p>
        </w:tc>
        <w:tc>
          <w:tcPr>
            <w:tcW w:w="1559"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Tên VBQPPL quy định TTHC</w:t>
            </w:r>
          </w:p>
        </w:tc>
        <w:tc>
          <w:tcPr>
            <w:tcW w:w="966"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Lĩnh vực</w:t>
            </w:r>
          </w:p>
        </w:tc>
        <w:tc>
          <w:tcPr>
            <w:tcW w:w="2297" w:type="dxa"/>
            <w:tcMar>
              <w:top w:w="80" w:type="dxa"/>
              <w:left w:w="40" w:type="dxa"/>
              <w:bottom w:w="80" w:type="dxa"/>
              <w:right w:w="40" w:type="dxa"/>
            </w:tcMar>
            <w:vAlign w:val="center"/>
          </w:tcPr>
          <w:p w:rsidR="00A72C48" w:rsidRPr="004D566D" w:rsidRDefault="00B46E6A">
            <w:pPr>
              <w:spacing w:line="252" w:lineRule="auto"/>
              <w:jc w:val="center"/>
              <w:rPr>
                <w:rFonts w:cs="Times New Roman"/>
                <w:szCs w:val="28"/>
              </w:rPr>
            </w:pPr>
            <w:r w:rsidRPr="004D566D">
              <w:rPr>
                <w:rFonts w:cs="Times New Roman"/>
                <w:b/>
                <w:szCs w:val="28"/>
              </w:rPr>
              <w:t>Cơ quan thực hiện</w:t>
            </w:r>
          </w:p>
        </w:tc>
      </w:tr>
      <w:tr w:rsidR="00A72C48" w:rsidRPr="004D566D" w:rsidTr="0018137F">
        <w:trPr>
          <w:jc w:val="center"/>
        </w:trPr>
        <w:tc>
          <w:tcPr>
            <w:tcW w:w="9841" w:type="dxa"/>
            <w:gridSpan w:val="6"/>
            <w:tcMar>
              <w:top w:w="80" w:type="dxa"/>
              <w:left w:w="80" w:type="dxa"/>
              <w:bottom w:w="80" w:type="dxa"/>
              <w:right w:w="80" w:type="dxa"/>
            </w:tcMar>
            <w:vAlign w:val="center"/>
          </w:tcPr>
          <w:p w:rsidR="00A72C48" w:rsidRPr="004D566D" w:rsidRDefault="00B46E6A">
            <w:pPr>
              <w:spacing w:line="252" w:lineRule="auto"/>
              <w:rPr>
                <w:rFonts w:cs="Times New Roman"/>
                <w:szCs w:val="28"/>
              </w:rPr>
            </w:pPr>
            <w:r w:rsidRPr="004D566D">
              <w:rPr>
                <w:rFonts w:cs="Times New Roman"/>
                <w:b/>
                <w:szCs w:val="28"/>
              </w:rPr>
              <w:t>A. THỦ TỤC HÀNH CHÍNH CẤP TỈNH</w:t>
            </w:r>
          </w:p>
        </w:tc>
      </w:tr>
      <w:tr w:rsidR="00A72C48" w:rsidRPr="004D566D" w:rsidTr="0018137F">
        <w:trPr>
          <w:cantSplit/>
          <w:jc w:val="center"/>
        </w:trPr>
        <w:tc>
          <w:tcPr>
            <w:tcW w:w="709"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1</w:t>
            </w:r>
          </w:p>
        </w:tc>
        <w:tc>
          <w:tcPr>
            <w:tcW w:w="127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3.000526</w:t>
            </w:r>
          </w:p>
        </w:tc>
        <w:tc>
          <w:tcPr>
            <w:tcW w:w="3033"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 xml:space="preserve">Công bố cơ sở cai nghiện ma túy tự nguyện, cơ sở cai nghiện ma túy công </w:t>
            </w:r>
            <w:r w:rsidRPr="004D566D">
              <w:rPr>
                <w:rFonts w:cs="Times New Roman"/>
                <w:szCs w:val="28"/>
              </w:rPr>
              <w:t>lập đủ điều kiện cung cấp dịch vụ cai nghiện ma túy tự nguyện tại gia đình, cộng đồng</w:t>
            </w:r>
          </w:p>
        </w:tc>
        <w:tc>
          <w:tcPr>
            <w:tcW w:w="1559" w:type="dxa"/>
            <w:tcMar>
              <w:top w:w="70" w:type="dxa"/>
              <w:left w:w="45" w:type="dxa"/>
              <w:bottom w:w="70" w:type="dxa"/>
              <w:right w:w="45" w:type="dxa"/>
            </w:tcMar>
            <w:vAlign w:val="center"/>
          </w:tcPr>
          <w:p w:rsidR="00A72C48" w:rsidRPr="004D566D" w:rsidRDefault="00B46E6A">
            <w:pPr>
              <w:spacing w:line="252" w:lineRule="auto"/>
              <w:jc w:val="both"/>
              <w:rPr>
                <w:rFonts w:cs="Times New Roman"/>
                <w:szCs w:val="28"/>
              </w:rPr>
            </w:pPr>
            <w:r w:rsidRPr="004D566D">
              <w:rPr>
                <w:rFonts w:cs="Times New Roman"/>
                <w:szCs w:val="28"/>
              </w:rPr>
              <w:t>TTHC này được quy định tại Nghị định số 116/2021/NĐ-CP và Nghị định số 184/2025/NĐ-CP; Nghị định số 163/2026/NĐ-CP không quy định TTHC này</w:t>
            </w:r>
          </w:p>
        </w:tc>
        <w:tc>
          <w:tcPr>
            <w:tcW w:w="966"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Cai nghiện ma túy</w:t>
            </w:r>
          </w:p>
        </w:tc>
        <w:tc>
          <w:tcPr>
            <w:tcW w:w="2297" w:type="dxa"/>
            <w:tcMar>
              <w:top w:w="70" w:type="dxa"/>
              <w:left w:w="45" w:type="dxa"/>
              <w:bottom w:w="70" w:type="dxa"/>
              <w:right w:w="45" w:type="dxa"/>
            </w:tcMar>
            <w:vAlign w:val="center"/>
          </w:tcPr>
          <w:p w:rsidR="00A72C48" w:rsidRPr="004D566D" w:rsidRDefault="00B46E6A">
            <w:pPr>
              <w:spacing w:line="252" w:lineRule="auto"/>
              <w:jc w:val="center"/>
              <w:rPr>
                <w:rFonts w:cs="Times New Roman"/>
                <w:szCs w:val="28"/>
              </w:rPr>
            </w:pPr>
            <w:r w:rsidRPr="004D566D">
              <w:rPr>
                <w:rFonts w:cs="Times New Roman"/>
                <w:szCs w:val="28"/>
              </w:rPr>
              <w:t>Phòng Cảnh sá</w:t>
            </w:r>
            <w:r w:rsidRPr="004D566D">
              <w:rPr>
                <w:rFonts w:cs="Times New Roman"/>
                <w:szCs w:val="28"/>
              </w:rPr>
              <w:t>t điều tra tội phạm về ma túy, Công an tỉnh Hưng Yên</w:t>
            </w:r>
          </w:p>
        </w:tc>
      </w:tr>
    </w:tbl>
    <w:p w:rsidR="00A72C48" w:rsidRDefault="00B46E6A">
      <w:r>
        <w:br w:type="page"/>
      </w:r>
    </w:p>
    <w:p w:rsidR="00A72C48" w:rsidRPr="001F06F3" w:rsidRDefault="00B46E6A" w:rsidP="001F06F3">
      <w:pPr>
        <w:keepNext/>
        <w:spacing w:before="120" w:after="120" w:line="360" w:lineRule="exact"/>
        <w:ind w:firstLine="709"/>
        <w:jc w:val="center"/>
        <w:rPr>
          <w:rFonts w:cs="Times New Roman"/>
          <w:szCs w:val="28"/>
        </w:rPr>
      </w:pPr>
      <w:r w:rsidRPr="001F06F3">
        <w:rPr>
          <w:rFonts w:cs="Times New Roman"/>
          <w:b/>
          <w:szCs w:val="28"/>
        </w:rPr>
        <w:lastRenderedPageBreak/>
        <w:t>PHẦN II. NỘI DUNG CỤ THỂ CỦA TỪNG THỦ TỤC HÀNH CHÍNH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A. THỦ TỤC HÀNH CHÍNH CẤP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 Thủ tục cấp giấy phép hoạt động cơ sở cai nghiện ma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Cơ sở </w:t>
      </w:r>
      <w:r w:rsidRPr="001F06F3">
        <w:rPr>
          <w:rFonts w:cs="Times New Roman"/>
          <w:szCs w:val="28"/>
        </w:rPr>
        <w:t>cai nghiện ma túy tư nhân gửi trực tiếp, qua bưu điện hoặc phương thức điện tử đến Phòng Cảnh sát điều tra tội phạm về ma túy, Công an cấp tỉnh nơi cơ sở cai nghiện ma túy tư nhân đặt trụ sở.</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Công an cấp tỉnh có trách nhiệm tổ chức </w:t>
      </w:r>
      <w:r w:rsidRPr="001F06F3">
        <w:rPr>
          <w:rFonts w:cs="Times New Roman"/>
          <w:szCs w:val="28"/>
        </w:rPr>
        <w:t>tiếp nhận hồ sơ trong giờ làm việc: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sung hồ sơ cho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1.2. Cách thức thực</w:t>
      </w:r>
      <w:r w:rsidRPr="001F06F3">
        <w:rPr>
          <w:rFonts w:cs="Times New Roman"/>
          <w:b/>
          <w:szCs w:val="28"/>
        </w:rPr>
        <w:t xml:space="preserve">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Gửi hồ sơ trực tiếp, qua bưu điện hoặc theo phương thức điện tử. Trường hợp gửi hồ sơ theo phương thức điện tử thì phải lưu giữ bản gốc của hồ sơ và chịu trách nhiệm trước pháp luật về tính chính xác, trung thực của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1.3. Thành phần, số lượng h</w:t>
      </w:r>
      <w:r w:rsidRPr="001F06F3">
        <w:rPr>
          <w:rFonts w:cs="Times New Roman"/>
          <w:b/>
          <w:szCs w:val="28"/>
        </w:rPr>
        <w:t>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1.3.1. Thành phần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cấp giấy phép hoạt động của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b) 01 bản sao quyết định thành lập, cho phép thành lập hoặc giấy chứng nhận đăng ký doanh nghiệp (nếu cơ sở cai nghiện ma túy tư nhân chưa cung cấp</w:t>
      </w:r>
      <w:r w:rsidRPr="001F06F3">
        <w:rPr>
          <w:rFonts w:cs="Times New Roman"/>
          <w:szCs w:val="28"/>
        </w:rPr>
        <w:t xml:space="preserve"> mã số doanh nghiệp trong văn bản đề nghị cấp phép tại điểm a).</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 Tài liệu chứng minh bảo đảm đủ các tiêu chí, điều kiện cơ sở vật chất, thiết bị quy định tại Điều 70, Điều 71, Điều 72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d) 01 bản chính danh sách nhân viên, kèm </w:t>
      </w:r>
      <w:r w:rsidRPr="001F06F3">
        <w:rPr>
          <w:rFonts w:cs="Times New Roman"/>
          <w:szCs w:val="28"/>
        </w:rPr>
        <w:t>theo bản sao văn bằng, chứng chỉ; 01 bản lý lịch tóm tắt của người đứng đầu hoặc người đại diện hợp pháp; 01 bản sao chứng chỉ hoặc chứng nhận đào tạo, bồi dưỡng kiến thức chuyên môn trong công tác cai nghiện ma túy của người đứng đầu cơ sở cai nghiện ma t</w:t>
      </w:r>
      <w:r w:rsidRPr="001F06F3">
        <w:rPr>
          <w:rFonts w:cs="Times New Roman"/>
          <w:szCs w:val="28"/>
        </w:rPr>
        <w: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đ) Phương án tài chính của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1.3.2.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1.4. Thời hạn giải quyết: </w:t>
      </w:r>
      <w:r w:rsidRPr="001F06F3">
        <w:rPr>
          <w:rFonts w:cs="Times New Roman"/>
          <w:szCs w:val="28"/>
        </w:rPr>
        <w:t>05 ngày làm việc kể từ ngày nhận đủ hồ sơ hợp lệ.</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1.5. Đối tượng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Áp dụng đối với cơ sở cai nghiện m</w:t>
      </w:r>
      <w:r w:rsidRPr="001F06F3">
        <w:rPr>
          <w:rFonts w:cs="Times New Roman"/>
          <w:szCs w:val="28"/>
        </w:rPr>
        <w:t>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1.7. Kết quả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Giấy phép hoạt động cai nghiện ma túy đối với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1.8. Lệ phí: </w:t>
      </w:r>
      <w:r w:rsidRPr="001F06F3">
        <w:rPr>
          <w:rFonts w:cs="Times New Roman"/>
          <w:szCs w:val="28"/>
        </w:rPr>
        <w:t>Không.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Phương </w:t>
      </w:r>
      <w:r w:rsidRPr="001F06F3">
        <w:rPr>
          <w:rFonts w:cs="Times New Roman"/>
          <w:szCs w:val="28"/>
        </w:rPr>
        <w:t>án tài chính của cơ sở cai nghiện ma túy tư nhân (Mẫu số 01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Văn bản đề nghị cấp Giấy phép hoạt động cai nghiện ma túy của cơ sở cai nghiện ma túy tư nhân (Mẫu số 02 Phụ lục V ban hành kèm theo Ngh</w:t>
      </w:r>
      <w:r w:rsidRPr="001F06F3">
        <w:rPr>
          <w:rFonts w:cs="Times New Roman"/>
          <w:szCs w:val="28"/>
        </w:rPr>
        <w:t>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Danh sách nhân viên của cơ sở cai nghiện ma túy tư nhân (Mẫu số 03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Tóm tắt lý lịch của cá nhân, người đứng đầu hoặc người đại diện theo pháp luật của cơ sở cai nghiện </w:t>
      </w:r>
      <w:r w:rsidRPr="001F06F3">
        <w:rPr>
          <w:rFonts w:cs="Times New Roman"/>
          <w:szCs w:val="28"/>
        </w:rPr>
        <w:t>ma túy tư nhân (Mẫu số 04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Giấy phép hoạt động cai nghiện ma túy đối với cơ sở cai nghiện ma túy tư nhân (Mẫu số 05 Phụ lục V ban hành kèm theo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1.10. Yêu cầu, điều kiện thực hiện thủ tụ</w:t>
      </w:r>
      <w:r w:rsidRPr="001F06F3">
        <w:rPr>
          <w:rFonts w:cs="Times New Roman"/>
          <w:b/>
          <w:szCs w:val="28"/>
        </w:rPr>
        <w:t>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Được thành lập, tổ chức, hoạt động theo quy định của pháp luật.</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Có điều kiện cơ sở vật chất, trang thiết bị, nhân sự theo quy định tại Điều 71 và Điều 72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 Có phương án tài chín</w:t>
      </w:r>
      <w:r w:rsidRPr="001F06F3">
        <w:rPr>
          <w:rFonts w:cs="Times New Roman"/>
          <w:szCs w:val="28"/>
        </w:rPr>
        <w:t>h bảo đảm duy trì các hoạt động cai nghiện ma túy của cơ sở cai nghiện ma túy tư nhân theo Mẫu số 01 Phụ lục V ban hành kèm theo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1.11. Căn 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Nghị định số </w:t>
      </w:r>
      <w:r w:rsidRPr="001F06F3">
        <w:rPr>
          <w:rFonts w:cs="Times New Roman"/>
          <w:szCs w:val="28"/>
        </w:rPr>
        <w:t>163/2026/NĐ-CP ngày 15/5/2026 của Chính phủ quy định chi tiết và hướng dẫn thi hành một số điều của Luật Phòng, chống ma túy.</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 Thủ tục cấp lại giấy phép hoạt động cơ sở cai nghiện ma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Cơ sở cai nghiện </w:t>
      </w:r>
      <w:r w:rsidRPr="001F06F3">
        <w:rPr>
          <w:rFonts w:cs="Times New Roman"/>
          <w:szCs w:val="28"/>
        </w:rPr>
        <w:t>ma túy tư nhân gửi trực tiếp, qua bưu điện hoặc phương thức điện tử đến Phòng Cảnh sát điều tra tội phạm về ma túy, Công an cấp tỉnh nơi cơ sở cai nghiện ma túy tư nhân đặt trụ sở.</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 có trách nhiệm tổ chức tiếp nhận h</w:t>
      </w:r>
      <w:r w:rsidRPr="001F06F3">
        <w:rPr>
          <w:rFonts w:cs="Times New Roman"/>
          <w:szCs w:val="28"/>
        </w:rPr>
        <w:t>ồ sơ trong giờ làm việc: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sung hồ sơ cho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2.2. Cách thức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Gửi </w:t>
      </w:r>
      <w:r w:rsidRPr="001F06F3">
        <w:rPr>
          <w:rFonts w:cs="Times New Roman"/>
          <w:szCs w:val="28"/>
        </w:rPr>
        <w:t>hồ sơ trực tiếp, qua bưu điện hoặc theo phương thức điện tử. Trường hợp gửi hồ sơ theo phương thức điện tử thì phải lưu giữ bản gốc của hồ sơ và chịu trách nhiệm trước pháp luật về tính chính xác, trung thực của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2.3. Thành phần, số lượng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2.3.1</w:t>
      </w:r>
      <w:r w:rsidRPr="001F06F3">
        <w:rPr>
          <w:rFonts w:cs="Times New Roman"/>
          <w:b/>
          <w:szCs w:val="28"/>
        </w:rPr>
        <w:t>. Thành phần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cấp lại Giấy phép hoạt động cai nghiện ma túy của cơ sở cai nghiện ma túy tư nhân theo Mẫu số 02 Phụ lục V Nghị định số 163/2026/NĐ-CP (đối với trường hợp giấy phép hoạt động bị mất, hỏng thì phải nêu rõ lý do mất, hỏn</w:t>
      </w:r>
      <w:r w:rsidRPr="001F06F3">
        <w:rPr>
          <w:rFonts w:cs="Times New Roman"/>
          <w:szCs w:val="28"/>
        </w:rPr>
        <w:t>g).</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b) 01 bản lý lịch tóm tắt của người đứng đầu cơ sở cai nghiện ma túy tư nhân theo Mẫu số 04 Phụ lục V Nghị định số 163/2026/NĐ-CP và các văn bằng, </w:t>
      </w:r>
      <w:r w:rsidRPr="001F06F3">
        <w:rPr>
          <w:rFonts w:cs="Times New Roman"/>
          <w:szCs w:val="28"/>
        </w:rPr>
        <w:lastRenderedPageBreak/>
        <w:t>chứng chỉ theo quy định tại Điều 72 Nghị định số 163/2026/NĐ-CP đối với trường hợp quy định tại điểm a kh</w:t>
      </w:r>
      <w:r w:rsidRPr="001F06F3">
        <w:rPr>
          <w:rFonts w:cs="Times New Roman"/>
          <w:szCs w:val="28"/>
        </w:rPr>
        <w:t>oản 2 Điều 74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 Tài liệu chứng minh bảo đảm đủ cơ sở vật chất, trang thiết bị tại trụ sở mới theo quy định tại Điều 71 Nghị định số 163/2026/NĐ-CP đối với trường hợp quy định tại điểm b khoản 2 Điều 74 Nghị định số 163/2026/NĐ</w:t>
      </w:r>
      <w:r w:rsidRPr="001F06F3">
        <w:rPr>
          <w:rFonts w:cs="Times New Roman"/>
          <w:szCs w:val="28"/>
        </w:rPr>
        <w:t>-CP.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2.3.2.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2.4. Thời hạn giải quyết: </w:t>
      </w:r>
      <w:r w:rsidRPr="001F06F3">
        <w:rPr>
          <w:rFonts w:cs="Times New Roman"/>
          <w:szCs w:val="28"/>
        </w:rPr>
        <w:t>05 ngày làm việc kể từ ngày nhận đủ hồ sơ hợp lệ.</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2.5. Đối tượng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Áp dụng đối với cơ sở cai nghiện ma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w:t>
      </w:r>
      <w:r w:rsidRPr="001F06F3">
        <w:rPr>
          <w:rFonts w:cs="Times New Roman"/>
          <w:szCs w:val="28"/>
        </w:rPr>
        <w:t>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2.7. Kết quả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Giấy phép hoạt động cai nghiện ma túy của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2.8. Lệ phí: </w:t>
      </w:r>
      <w:r w:rsidRPr="001F06F3">
        <w:rPr>
          <w:rFonts w:cs="Times New Roman"/>
          <w:szCs w:val="28"/>
        </w:rPr>
        <w:t>Không.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Văn bản đề nghị cấp lại Giấy phép hoạt động cai nghiện ma túy của cơ sở cai ng</w:t>
      </w:r>
      <w:r w:rsidRPr="001F06F3">
        <w:rPr>
          <w:rFonts w:cs="Times New Roman"/>
          <w:szCs w:val="28"/>
        </w:rPr>
        <w:t>hiện ma túy tư nhân (Mẫu số 02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Tóm tắt lý lịch của người đứng đầu cơ sở cai nghiện ma túy tư nhân (Mẫu số 04 Phụ lục V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2.10. Yêu cầu, điều kiện thực hiện thủ tục hành</w:t>
      </w:r>
      <w:r w:rsidRPr="001F06F3">
        <w:rPr>
          <w:rFonts w:cs="Times New Roman"/>
          <w:b/>
          <w:szCs w:val="28"/>
        </w:rPr>
        <w:t xml:space="preserve">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Cơ sở cai nghiện ma túy tư nhân được đề nghị cấp lại giấy phép cai nghiện ma túy khi thuộc một trong các trường hợp sau:</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Thay đổi người đứng đầu;</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Thay đổi địa điểm trụ sở của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Giấy phép hoạt động bị mất, hỏng.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2.11. Căn 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Nghị định số 163/2026/NĐ-CP ngày 15/5/2026 của Chính phủ quy định chi tiết và hướng dẫn thi hành một số điều của Luật Phòng, chống ma túy.</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lastRenderedPageBreak/>
        <w:t xml:space="preserve">3. Thủ tục thu hồi giấy phép hoạt động </w:t>
      </w:r>
      <w:r w:rsidRPr="001F06F3">
        <w:rPr>
          <w:rFonts w:cs="Times New Roman"/>
          <w:b/>
          <w:szCs w:val="28"/>
        </w:rPr>
        <w:t>của cơ sở cai nghiện ma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Cơ sở cai nghiện ma túy tư nhân gửi trực tiếp, qua bưu điện hoặc phương thức điện tử đến Phòng Cảnh sát điều tra tội phạm về ma túy, Công an cấp tỉnh.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w:t>
      </w:r>
      <w:r w:rsidRPr="001F06F3">
        <w:rPr>
          <w:rFonts w:cs="Times New Roman"/>
          <w:szCs w:val="28"/>
        </w:rPr>
        <w:t>g an cấp tỉnh có trách nhiệm tổ chức tiếp nhận hồ sơ trong giờ làm việc: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sung hồ sơ cho</w:t>
      </w:r>
      <w:r w:rsidRPr="001F06F3">
        <w:rPr>
          <w:rFonts w:cs="Times New Roman"/>
          <w:szCs w:val="28"/>
        </w:rPr>
        <w:t xml:space="preserve">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3.2. Cách thức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Gửi hồ sơ trực tiếp, qua bưu điện hoặc theo phương thức điện tử. Trường hợp gửi hồ sơ theo phương thức điện tử thì phải lưu giữ bản gốc của hồ sơ và chịu trách nhiệm trước pháp luật về tính chính xác, trung thực c</w:t>
      </w:r>
      <w:r w:rsidRPr="001F06F3">
        <w:rPr>
          <w:rFonts w:cs="Times New Roman"/>
          <w:szCs w:val="28"/>
        </w:rPr>
        <w:t>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3.3. Thành phần, số lượng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3.3.1. Thành phần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Văn bản đề nghị dừng hoạt động cai nghiện ma túy theo Mẫu số 09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3.3.2.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3.4. Thời hạn giải quyết: </w:t>
      </w:r>
      <w:r w:rsidRPr="001F06F3">
        <w:rPr>
          <w:rFonts w:cs="Times New Roman"/>
          <w:szCs w:val="28"/>
        </w:rPr>
        <w:t>02 ngày làm việc kể từ ngày nhậ</w:t>
      </w:r>
      <w:r w:rsidRPr="001F06F3">
        <w:rPr>
          <w:rFonts w:cs="Times New Roman"/>
          <w:szCs w:val="28"/>
        </w:rPr>
        <w:t>n được văn bản đề nghị dừng hoạt động cai nghiện ma túy.</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3.5. Đối tượng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Áp dụng đối với cơ sở cai nghiện ma túy tư nhân.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3.7. Kết quả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Quyết định thu hồi Giấy phép hoạt động cai nghiện ma túy đối với cơ sở cai nghiện ma túy tư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3.8. Lệ phí: </w:t>
      </w:r>
      <w:r w:rsidRPr="001F06F3">
        <w:rPr>
          <w:rFonts w:cs="Times New Roman"/>
          <w:szCs w:val="28"/>
        </w:rPr>
        <w:t>Không.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lastRenderedPageBreak/>
        <w:t>3.9.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Văn bản đề nghị dừng hoạt động cai nghiện ma túy theo Mẫu số 09 Phụ lục V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3.10.</w:t>
      </w:r>
      <w:r w:rsidRPr="001F06F3">
        <w:rPr>
          <w:rFonts w:cs="Times New Roman"/>
          <w:b/>
          <w:szCs w:val="28"/>
        </w:rPr>
        <w:t xml:space="preserve"> Yêu cầu, điều kiện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Có văn bản đề nghị dừng hoạt động cai nghiện ma túy theo Mẫu số 09 Phụ lục V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3.11. Căn 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Nghị định số 163/2026/NĐ</w:t>
      </w:r>
      <w:r w:rsidRPr="001F06F3">
        <w:rPr>
          <w:rFonts w:cs="Times New Roman"/>
          <w:szCs w:val="28"/>
        </w:rPr>
        <w:t>-CP ngày 15/5/2026 của Chính phủ quy định chi tiết và hướng dẫn thi hành một số điều của Luật Phòng, chống ma túy.</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 Thủ tục công bố tổ chức, cá nhân đủ điều kiện cung cấp dịch vụ cai nghiện ma túy tự nguyện tại gia đình, cộng đồng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Tổ chức, cá nhân gửi trực tiếp, qua bưu điện hoặc qua phương thức điện tử đến Phòng Cảnh sát điều tra tội phạm về ma túy, Công an cấp tỉnh.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 có trách nhiệm tổ chức tiếp nhận hồ sơ trong giờ làm việ</w:t>
      </w:r>
      <w:r w:rsidRPr="001F06F3">
        <w:rPr>
          <w:rFonts w:cs="Times New Roman"/>
          <w:szCs w:val="28"/>
        </w:rPr>
        <w:t>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sung hồ sơ cho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4.2. Cách thức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Gửi hồ sơ trực tiếp, qua bư</w:t>
      </w:r>
      <w:r w:rsidRPr="001F06F3">
        <w:rPr>
          <w:rFonts w:cs="Times New Roman"/>
          <w:szCs w:val="28"/>
        </w:rPr>
        <w:t>u điện hoặc theo phương thức điện tử. Trường hợp gửi hồ sơ theo phương thức điện tử thì phải lưu giữ bản gốc của hồ sơ và chịu trách nhiệm trước pháp luật về tính chính xác, trung thực của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4.3. Thành phần, số lượng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4.3.1. Thành phần hồ sơ đối </w:t>
      </w:r>
      <w:r w:rsidRPr="001F06F3">
        <w:rPr>
          <w:rFonts w:cs="Times New Roman"/>
          <w:b/>
          <w:szCs w:val="28"/>
        </w:rPr>
        <w:t>với tổ chức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công bố đủ điều kiện cung cấp dịch vụ cai nghiện ma túy tự nguyện tại gia đình, cộng đồng của tổ chức theo Mẫu số 11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b) Bản sao quyết định thành lập, cho phép thành lập hoặc giấy chứng n</w:t>
      </w:r>
      <w:r w:rsidRPr="001F06F3">
        <w:rPr>
          <w:rFonts w:cs="Times New Roman"/>
          <w:szCs w:val="28"/>
        </w:rPr>
        <w:t>hận đăng ký doanh nghiệp (nếu tổ chức chưa cung cấp mã số doanh nghiệp trong văn bản đề nghị tại điểm a).</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 Tài liệu chứng minh bảo đảm đủ các điều kiện cơ sở vật chất, trang thiết bị cung cấp dịch vụ theo quy định tại khoản 3 Điều 79 Nghị định số 163/202</w:t>
      </w:r>
      <w:r w:rsidRPr="001F06F3">
        <w:rPr>
          <w:rFonts w:cs="Times New Roman"/>
          <w:szCs w:val="28"/>
        </w:rPr>
        <w:t>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d) 01 bản chính danh sách nhân viên theo Mẫu số 03 Phụ lục V Nghị định số 163/2026/NĐ-CP, kèm theo 01 bản sao văn bằng, chứng chỉ.</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đ) Bản lý lịch tóm tắt của người đứng đầu hoặc người đại diện hợp pháp của cơ sở cung cấp dịch vụ theo Mẫu số 04 Phụ</w:t>
      </w:r>
      <w:r w:rsidRPr="001F06F3">
        <w:rPr>
          <w:rFonts w:cs="Times New Roman"/>
          <w:szCs w:val="28"/>
        </w:rPr>
        <w:t xml:space="preserve">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4.3.2. Thành phần hồ sơ đối với cá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công bố đủ điều kiện cung cấp dịch vụ cai nghiện ma túy tự nguyện tại gia đình, cộng đồng của cá nhân theo Mẫu số 11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b) Bả</w:t>
      </w:r>
      <w:r w:rsidRPr="001F06F3">
        <w:rPr>
          <w:rFonts w:cs="Times New Roman"/>
          <w:szCs w:val="28"/>
        </w:rPr>
        <w:t>n lý lịch tóm tắt theo Mẫu số 04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 01 bản sao văn bằng, chứng chỉ phù hợp với dịch vụ đăng ký.</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4.3.3.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4.4. Thời hạn giải quyết: </w:t>
      </w:r>
      <w:r w:rsidRPr="001F06F3">
        <w:rPr>
          <w:rFonts w:cs="Times New Roman"/>
          <w:szCs w:val="28"/>
        </w:rPr>
        <w:t>05 ngày làm việc kể từ ngày nhận đủ hồ sơ hợp lệ.</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 xml:space="preserve">4.5. Đối tượng </w:t>
      </w:r>
      <w:r w:rsidRPr="001F06F3">
        <w:rPr>
          <w:rFonts w:cs="Times New Roman"/>
          <w:b/>
          <w:szCs w:val="28"/>
        </w:rPr>
        <w:t>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Tổ chức, cá nhân cung cấp dịch vụ cai nghiện ma túy tự nguyện tại gia đình, cộng đồng.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4.7. Kết quả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Quyết định của Giám đốc Công an cấp t</w:t>
      </w:r>
      <w:r w:rsidRPr="001F06F3">
        <w:rPr>
          <w:rFonts w:cs="Times New Roman"/>
          <w:szCs w:val="28"/>
        </w:rPr>
        <w:t>ỉnh công bố tổ chức, cá nhân đủ điều kiện cung cấp dịch vụ cai nghiện ma túy tự nguyện tại gia đình, cộng đồng.</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4.8. Lệ phí: </w:t>
      </w:r>
      <w:r w:rsidRPr="001F06F3">
        <w:rPr>
          <w:rFonts w:cs="Times New Roman"/>
          <w:szCs w:val="28"/>
        </w:rPr>
        <w:t>Không.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Văn bản đề nghị công bố đủ điều kiện cung cấp dịch vụ cai nghiện ma túy tự nguyện tại gia đì</w:t>
      </w:r>
      <w:r w:rsidRPr="001F06F3">
        <w:rPr>
          <w:rFonts w:cs="Times New Roman"/>
          <w:szCs w:val="28"/>
        </w:rPr>
        <w:t>nh, cộng đồng của tổ chức, cá nhân theo Mẫu số 11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 Danh sách nhân viên của cơ sở cung cấp dịch vụ cai nghiện ma túy theo Mẫu số 03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Tóm tắt lý lịch của cá nhân, người đứng đầu </w:t>
      </w:r>
      <w:r w:rsidRPr="001F06F3">
        <w:rPr>
          <w:rFonts w:cs="Times New Roman"/>
          <w:szCs w:val="28"/>
        </w:rPr>
        <w:t>hoặc người đại diện theo pháp luật của cơ sở cung cấp dịch vụ cai nghiện ma túy tự nguyện theo Mẫu số 04 Phụ lục V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4.10. Yêu cầu, điều kiện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4.10.1. Đối với tổ chức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a) Yêu cầu về pháp lý, nhân sự</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Tổ </w:t>
      </w:r>
      <w:r w:rsidRPr="001F06F3">
        <w:rPr>
          <w:rFonts w:cs="Times New Roman"/>
          <w:szCs w:val="28"/>
        </w:rPr>
        <w:t>chức cung cấp dịch vụ cai nghiện ma túy tự nguyện tại gia đình, cộng đồng được thành lập, tổ chức, hoạt động theo quy định của pháp luật.</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Nhân sự thực hiện việc cung cấp dịch vụ phải đáp ứng điều kiện, tiêu chuẩn tương ứng với một hoặc nhiều giai đoạn của </w:t>
      </w:r>
      <w:r w:rsidRPr="001F06F3">
        <w:rPr>
          <w:rFonts w:cs="Times New Roman"/>
          <w:szCs w:val="28"/>
        </w:rPr>
        <w:t>quy trình cai nghiện ma túy do tổ chức cung cấp, theo quy định tại khoản 5 Điều 84, khoản 5 Điều 85, khoản 5 Điều 86 và khoản 6 Điều 88 của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 Yêu cầu về cơ sở vật chất, trang thiết bị</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Có cơ sở vật chất để thực hiện việc tiếp n</w:t>
      </w:r>
      <w:r w:rsidRPr="001F06F3">
        <w:rPr>
          <w:rFonts w:cs="Times New Roman"/>
          <w:szCs w:val="28"/>
        </w:rPr>
        <w:t>hận, cung cấp dịch vụ cai nghiện theo phạm vi dịch vụ đăng ký. Trường hợp cung cấp dịch vụ nội trú, cơ sở phải đáp ứng các điều kiện về phòng ở quy định tại điểm b khoản 1 Điều 71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Có trang thiết bị tối thiểu để thực hiện các dị</w:t>
      </w:r>
      <w:r w:rsidRPr="001F06F3">
        <w:rPr>
          <w:rFonts w:cs="Times New Roman"/>
          <w:szCs w:val="28"/>
        </w:rPr>
        <w:t>ch vụ đã đăng ký tương ứng với quy định tại Phụ lục IV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4.10.2. Đối với cá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a) Yêu cầu về pháp lý, nhân sự</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Cá nhân cung cấp dịch vụ cai nghiện ma túy tự nguyện tại gia đình, cộng đồng không trong thời gian </w:t>
      </w:r>
      <w:r w:rsidRPr="001F06F3">
        <w:rPr>
          <w:rFonts w:cs="Times New Roman"/>
          <w:szCs w:val="28"/>
        </w:rPr>
        <w:t>bị truy cứu trách nhiệm hình sự, thời gian chấp hành bản án hình sự của tòa án; không trong thời hạn cấm hành nghề hoặc công việc liên quan trực tiếp đến việc cung cấp dịch vụ cai nghiện ma túy; có trình độ chuyên môn đáp ứng điều kiện, tiêu chuẩn theo quy</w:t>
      </w:r>
      <w:r w:rsidRPr="001F06F3">
        <w:rPr>
          <w:rFonts w:cs="Times New Roman"/>
          <w:szCs w:val="28"/>
        </w:rPr>
        <w:t xml:space="preserve"> định tại khoản 5 Điều 84, khoản 5 Điều 85, khoản 5 Điều 86, khoản 6 Điều 88 của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 Yêu cầu về cơ sở vật chất, trang thiết bị</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Cá nhân cung cấp dịch vụ cai nghiện ma túy tự nguyện tại gia đình, cộng đồng phải có địa điểm thực hi</w:t>
      </w:r>
      <w:r w:rsidRPr="001F06F3">
        <w:rPr>
          <w:rFonts w:cs="Times New Roman"/>
          <w:szCs w:val="28"/>
        </w:rPr>
        <w:t xml:space="preserve">ện việc cung cấp dịch vụ. Trường hợp cung cấp dịch vụ điều trị cắt cơn, giải độc, điều trị rối loạn tâm thần và các bệnh lý khác </w:t>
      </w:r>
      <w:r w:rsidRPr="001F06F3">
        <w:rPr>
          <w:rFonts w:cs="Times New Roman"/>
          <w:szCs w:val="28"/>
        </w:rPr>
        <w:lastRenderedPageBreak/>
        <w:t>phải có đủ trang thiết bị tối thiểu tương ứng quy định tại Phụ lục IV ban hành kèm theo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 xml:space="preserve">4.11. Căn </w:t>
      </w:r>
      <w:r w:rsidRPr="001F06F3">
        <w:rPr>
          <w:rFonts w:cs="Times New Roman"/>
          <w:b/>
          <w:szCs w:val="28"/>
        </w:rPr>
        <w:t>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Nghị định số 163/2026/NĐ-CP ngày 15/5/2026 của Chính phủ quy định chi tiết và hướng dẫn thi hành một số điều của Luật Phòng, chống ma túy.</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 Thủ tục công bố lại tổ chức, cá nhân cung cấp d</w:t>
      </w:r>
      <w:r w:rsidRPr="001F06F3">
        <w:rPr>
          <w:rFonts w:cs="Times New Roman"/>
          <w:b/>
          <w:szCs w:val="28"/>
        </w:rPr>
        <w:t>ịch vụ cai nghiện ma túy tự nguyện tại gia đình, cộng đồng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Tổ chức, cá nhân gửi trực tiếp, qua bưu điện hoặc qua phương thức điện tử đến Phòng Cảnh sát điều tra tội phạm về ma túy, Công an cấp tỉnh.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w:t>
      </w:r>
      <w:r w:rsidRPr="001F06F3">
        <w:rPr>
          <w:rFonts w:cs="Times New Roman"/>
          <w:b/>
          <w:szCs w:val="28"/>
        </w:rPr>
        <w:t>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 có trách nhiệm tổ chức tiếp nhận hồ sơ trong giờ làm việc: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w:t>
      </w:r>
      <w:r w:rsidRPr="001F06F3">
        <w:rPr>
          <w:rFonts w:cs="Times New Roman"/>
          <w:szCs w:val="28"/>
        </w:rPr>
        <w:t>ng hồ sơ cho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5.2. Cách thức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Gửi hồ sơ trực tiếp, qua bưu điện hoặc theo phương thức điện tử. Trường hợp gửi hồ sơ theo phương thức điện tử thì phải lưu giữ bản gốc của hồ sơ và chịu trách nhiệm trước pháp luật về tính chính xác, </w:t>
      </w:r>
      <w:r w:rsidRPr="001F06F3">
        <w:rPr>
          <w:rFonts w:cs="Times New Roman"/>
          <w:szCs w:val="28"/>
        </w:rPr>
        <w:t>trung thực của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5.3. Thành phần, số lượng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5.3.1. Thành phần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5.3.1.1. Đối với tổ chức</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công bố lại đủ điều kiện cung cấp dịch vụ cai nghiện ma túy tự nguyện tại gia đình, cộng đồng của tổ chức theo Mẫu số 11 Phụ lục V Ngh</w:t>
      </w:r>
      <w:r w:rsidRPr="001F06F3">
        <w:rPr>
          <w:rFonts w:cs="Times New Roman"/>
          <w:szCs w:val="28"/>
        </w:rPr>
        <w:t>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b) Tóm tắt lý lịch của người đứng đầu tổ chức cung cấp dịch vụ theo Mẫu số 04 Phụ lục V ban hành kèm theo Nghị định số 163/2026/NĐ-CP và các văn bằng, chứng chỉ đối với trường hợp quy định tại điểm a khoản 2 Điều 82 Nghị định số 1</w:t>
      </w:r>
      <w:r w:rsidRPr="001F06F3">
        <w:rPr>
          <w:rFonts w:cs="Times New Roman"/>
          <w:szCs w:val="28"/>
        </w:rPr>
        <w:t>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c) Tài liệu chứng minh địa điểm trụ sở mới của cơ sở cung cấp dịch vụ đối với trường hợp quy định tại điểm b khoản 2 Điều 82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5.3.1.2. Đối với cá nhân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Văn bản đề nghị công bố lại đủ điều kiện cung cấp dịch vụ c</w:t>
      </w:r>
      <w:r w:rsidRPr="001F06F3">
        <w:rPr>
          <w:rFonts w:cs="Times New Roman"/>
          <w:szCs w:val="28"/>
        </w:rPr>
        <w:t>ai nghiện ma túy tự nguyện tại gia đình, cộng đồng của cá nhân theo Mẫu số 11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b) Tài liệu chứng minh địa điểm cung cấp dịch vụ mới.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5.3.2.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5.4. Thời hạn giải quyết: </w:t>
      </w:r>
      <w:r w:rsidRPr="001F06F3">
        <w:rPr>
          <w:rFonts w:cs="Times New Roman"/>
          <w:szCs w:val="28"/>
        </w:rPr>
        <w:t>05 ngày làm</w:t>
      </w:r>
      <w:r w:rsidRPr="001F06F3">
        <w:rPr>
          <w:rFonts w:cs="Times New Roman"/>
          <w:szCs w:val="28"/>
        </w:rPr>
        <w:t xml:space="preserve"> việc kể từ ngày nhận đủ hồ sơ hợp lệ.</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5.5. Đối tượng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Tổ chức, cá nhân cung cấp dịch vụ cai nghiện ma túy tự nguyện tại gia đình, cộng đồng.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tỉnh.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 xml:space="preserve">5.7. Kết quả thực hiện </w:t>
      </w:r>
      <w:r w:rsidRPr="001F06F3">
        <w:rPr>
          <w:rFonts w:cs="Times New Roman"/>
          <w:b/>
          <w:szCs w:val="28"/>
        </w:rPr>
        <w:t>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Quyết định của Giám đốc Công an cấp tỉnh công bố lại tổ chức, cá nhân đủ điều kiện cung cấp dịch vụ cai nghiện ma túy tự nguyện tại gia đình, cộng đồng.</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5.8. Lệ phí: </w:t>
      </w:r>
      <w:r w:rsidRPr="001F06F3">
        <w:rPr>
          <w:rFonts w:cs="Times New Roman"/>
          <w:szCs w:val="28"/>
        </w:rPr>
        <w:t>Không.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Văn bản đề nghị công bố lại đủ đ</w:t>
      </w:r>
      <w:r w:rsidRPr="001F06F3">
        <w:rPr>
          <w:rFonts w:cs="Times New Roman"/>
          <w:szCs w:val="28"/>
        </w:rPr>
        <w:t>iều kiện cung cấp dịch vụ cai nghiện ma túy tự nguyện tại gia đình, cộng đồng của tổ chức, cá nhân theo Mẫu số 11 Phụ lục V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Tóm tắt lý lịch của cá nhân, người đứng đầu hoặc người đại diện theo pháp luật của cơ sở cung cấp dịc</w:t>
      </w:r>
      <w:r w:rsidRPr="001F06F3">
        <w:rPr>
          <w:rFonts w:cs="Times New Roman"/>
          <w:szCs w:val="28"/>
        </w:rPr>
        <w:t>h vụ cai nghiện ma túy tự nguyện theo Mẫu số 04 Phụ lục V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5.10. Yêu cầu, điều kiện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Các trường hợp công bố lại đối với tổ chức, cá nhân cung cấp dịch vụ cai nghiện ma túy tự nguyện tại gia đình, cộng</w:t>
      </w:r>
      <w:r w:rsidRPr="001F06F3">
        <w:rPr>
          <w:rFonts w:cs="Times New Roman"/>
          <w:szCs w:val="28"/>
        </w:rPr>
        <w:t xml:space="preserve"> đồng gồm:</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a) Thay đổi người đứng đầu;</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b) Thay đổi địa điểm trụ sở.</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lastRenderedPageBreak/>
        <w:t>5.11. Căn 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Nghị định số 163/2026/NĐ-CP ngày 15/5/2026 của Chính phủ quy định chi tiết và hướng dẫn thi hành một số điều </w:t>
      </w:r>
      <w:r w:rsidRPr="001F06F3">
        <w:rPr>
          <w:rFonts w:cs="Times New Roman"/>
          <w:szCs w:val="28"/>
        </w:rPr>
        <w:t>của Luật Phòng, chống ma túy.</w:t>
      </w:r>
    </w:p>
    <w:p w:rsidR="00B441D8" w:rsidRDefault="00B441D8" w:rsidP="001F06F3">
      <w:pPr>
        <w:keepNext/>
        <w:spacing w:before="120" w:after="120" w:line="360" w:lineRule="exact"/>
        <w:ind w:firstLine="709"/>
        <w:rPr>
          <w:rFonts w:cs="Times New Roman"/>
          <w:b/>
          <w:szCs w:val="28"/>
        </w:rPr>
      </w:pPr>
    </w:p>
    <w:p w:rsidR="00B441D8" w:rsidRDefault="00B441D8" w:rsidP="001F06F3">
      <w:pPr>
        <w:keepNext/>
        <w:spacing w:before="120" w:after="120" w:line="360" w:lineRule="exact"/>
        <w:ind w:firstLine="709"/>
        <w:rPr>
          <w:rFonts w:cs="Times New Roman"/>
          <w:b/>
          <w:szCs w:val="28"/>
        </w:rPr>
      </w:pPr>
    </w:p>
    <w:p w:rsidR="00A72C48" w:rsidRPr="001F06F3" w:rsidRDefault="00B46E6A" w:rsidP="001F06F3">
      <w:pPr>
        <w:keepNext/>
        <w:spacing w:before="120" w:after="120" w:line="360" w:lineRule="exact"/>
        <w:ind w:firstLine="709"/>
        <w:rPr>
          <w:rFonts w:cs="Times New Roman"/>
          <w:szCs w:val="28"/>
        </w:rPr>
      </w:pPr>
      <w:bookmarkStart w:id="0" w:name="_GoBack"/>
      <w:bookmarkEnd w:id="0"/>
      <w:r w:rsidRPr="001F06F3">
        <w:rPr>
          <w:rFonts w:cs="Times New Roman"/>
          <w:b/>
          <w:szCs w:val="28"/>
        </w:rPr>
        <w:t>B. THỦ TỤC HÀNH CHÍNH CẤP XÃ</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 Thủ tục đăng ký cai nghiện ma túy tự nguyện</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1.1. Trình tự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1: Nộp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Người nghiện ma túy từ đủ 18 tuổi trở lên hoặc cha, mẹ, người giám hộ hoặc người đại diện hợp pháp của người</w:t>
      </w:r>
      <w:r w:rsidRPr="001F06F3">
        <w:rPr>
          <w:rFonts w:cs="Times New Roman"/>
          <w:szCs w:val="28"/>
        </w:rPr>
        <w:t xml:space="preserve"> nghiện ma túy từ đủ 12 tuổi đến dưới 18 tuổi nộp bộ hồ sơ tại điểm tiếp nhận đăng ký cai nghiện của Công an cấp xã nơi cư trú, xuất trình bản chính giấy tờ tùy thân để đối chiếu.</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Bước 2: Tiếp nhận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xã có trách nhiệm tổ chức tiếp nhận hồ s</w:t>
      </w:r>
      <w:r w:rsidRPr="001F06F3">
        <w:rPr>
          <w:rFonts w:cs="Times New Roman"/>
          <w:szCs w:val="28"/>
        </w:rPr>
        <w:t>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đầy đủ, cán bộ tiếp nhận cấp phiếu tiếp nhận hồ sơ cho người nộp.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Nếu hồ sơ chưa đầy đủ, chưa hợp lệ, cán bộ tiếp nhận hướng dẫn và cấp phiếu hướng dẫn bổ sung hồ sơ cho người nộp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1.2. Cách thức thực hiện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Nộp hồ sơ trực tiếp tại địa</w:t>
      </w:r>
      <w:r w:rsidRPr="001F06F3">
        <w:rPr>
          <w:rFonts w:cs="Times New Roman"/>
          <w:szCs w:val="28"/>
        </w:rPr>
        <w:t xml:space="preserve"> điểm tiếp nhận đăng ký cai nghiện của Công an cấp xã hoặc nộp trực tuyến tại Cổng Dịch vụ công quốc gia hoặc Ứng dụng định danh quốc gia. Trường hợp nộp trực tuyến tại Cổng Dịch vụ công quốc gia hoặc Ứng dụng định danh quốc gia, người nộp có trách nhiệm l</w:t>
      </w:r>
      <w:r w:rsidRPr="001F06F3">
        <w:rPr>
          <w:rFonts w:cs="Times New Roman"/>
          <w:szCs w:val="28"/>
        </w:rPr>
        <w:t>ưu giữ toàn bộ bản gốc của hồ sơ và chịu trách nhiệm trước pháp luật về tính chính xác, trung thực của hồ sơ.</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1.3. Thành phần, số lượng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1.3.1. Thành phần hồ sơ</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Đơn xin đi cai nghiện tự nguyện của người nghiện ma túy; trường hợp người nghiện ma túy </w:t>
      </w:r>
      <w:r w:rsidRPr="001F06F3">
        <w:rPr>
          <w:rFonts w:cs="Times New Roman"/>
          <w:szCs w:val="28"/>
        </w:rPr>
        <w:t>chưa đủ 18 tuổi thì phải có ý kiến của cha, mẹ, người giám hộ hoặc người đại diện hợp pháp của họ theo Mẫu số 20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lastRenderedPageBreak/>
        <w:t>- Lý lịch của người đăng ký đi cai nghiện ma túy theo Mẫu số 33 Phụ lục V ban hành kèm</w:t>
      </w:r>
      <w:r w:rsidRPr="001F06F3">
        <w:rPr>
          <w:rFonts w:cs="Times New Roman"/>
          <w:szCs w:val="28"/>
        </w:rPr>
        <w:t xml:space="preserve">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- 01 bản sao xác nhận tình trạng nghiện ma túy của cơ sở y tế có thẩm quyền.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Trường hợp người nghiện ma túy đang tham gia điều trị bằng thuốc thay thế mà đăng ký cai nghiện ma túy tự nguyện thì nộp 01 giấy xác nhận đang đ</w:t>
      </w:r>
      <w:r w:rsidRPr="001F06F3">
        <w:rPr>
          <w:rFonts w:cs="Times New Roman"/>
          <w:szCs w:val="28"/>
        </w:rPr>
        <w:t>iều trị của cơ sở điều trị nghiện bằng thuốc thay thế theo Mẫu số 35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Văn bản của Trưởng Công an cấp xã đề nghị xem xét đưa vào cơ sở cai nghiện ma túy công lập, trường giáo dưỡng trong trường hợp đ</w:t>
      </w:r>
      <w:r w:rsidRPr="001F06F3">
        <w:rPr>
          <w:rFonts w:cs="Times New Roman"/>
          <w:szCs w:val="28"/>
        </w:rPr>
        <w:t>ăng ký cai nghiện ma túy tại cơ sở cai nghiện ma túy công lập, trường giáo dưỡng.</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1.3.2. Số lượng hồ sơ: 01 bộ.</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1.4. Thời hạn giải quyết: </w:t>
      </w:r>
      <w:r w:rsidRPr="001F06F3">
        <w:rPr>
          <w:rFonts w:cs="Times New Roman"/>
          <w:szCs w:val="28"/>
        </w:rPr>
        <w:t>24 giờ, kể từ khi tiếp nhận đủ hồ sơ hợp lệ.</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1.5. Đối tượng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Người nghiện ma túy, người </w:t>
      </w:r>
      <w:r w:rsidRPr="001F06F3">
        <w:rPr>
          <w:rFonts w:cs="Times New Roman"/>
          <w:szCs w:val="28"/>
        </w:rPr>
        <w:t>đại diện hợp pháp của người nghiện ma túy từ đủ 12 tuổi đến dưới 18 tuổi.</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1.6. Cơ quan giải quyết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Công an cấp xã.</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1.7. Kết quả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Quyết định của Công an cấp xã về việc cai nghiện ma túy tự nguyện.</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b/>
          <w:szCs w:val="28"/>
        </w:rPr>
        <w:t xml:space="preserve">1.8. Lệ phí: </w:t>
      </w:r>
      <w:r w:rsidRPr="001F06F3">
        <w:rPr>
          <w:rFonts w:cs="Times New Roman"/>
          <w:szCs w:val="28"/>
        </w:rPr>
        <w:t>K</w:t>
      </w:r>
      <w:r w:rsidRPr="001F06F3">
        <w:rPr>
          <w:rFonts w:cs="Times New Roman"/>
          <w:szCs w:val="28"/>
        </w:rPr>
        <w:t>hông.</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1.9. Tên mẫu đơn, mẫu tờ khai</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Đơn xin đi cai nghiện tự nguyện của người nghiện ma túy; trường hợp người nghiện ma túy chưa đủ 18 tuổi thì phải có ý kiến của cha, mẹ, người giám hộ hoặc người đại diện hợp pháp của họ theo Mẫu số 20 Phụ lục V ban hàn</w:t>
      </w:r>
      <w:r w:rsidRPr="001F06F3">
        <w:rPr>
          <w:rFonts w:cs="Times New Roman"/>
          <w:szCs w:val="28"/>
        </w:rPr>
        <w:t>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Lý lịch của người đăng ký đi cai nghiện ma túy theo Mẫu số 33 Phụ lục V ban hành kèm theo Nghị định số 163/2026/NĐ-CP.</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xml:space="preserve">- Giấy xác nhận đang điều trị của cơ sở điều trị nghiện bằng thuốc thay thế theo Mẫu số 35 Phụ </w:t>
      </w:r>
      <w:r w:rsidRPr="001F06F3">
        <w:rPr>
          <w:rFonts w:cs="Times New Roman"/>
          <w:szCs w:val="28"/>
        </w:rPr>
        <w:t>lục V ban hành kèm theo Nghị định số 163/2026/NĐ-CP.</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t>1.10. Yêu cầu, điều kiện thực hiện thủ tục hành chính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Không có yêu cầu, điều kiện thực hiện thủ tục hành chính.</w:t>
      </w:r>
    </w:p>
    <w:p w:rsidR="00A72C48" w:rsidRPr="001F06F3" w:rsidRDefault="00B46E6A" w:rsidP="001F06F3">
      <w:pPr>
        <w:keepNext/>
        <w:spacing w:before="120" w:after="120" w:line="360" w:lineRule="exact"/>
        <w:ind w:firstLine="709"/>
        <w:rPr>
          <w:rFonts w:cs="Times New Roman"/>
          <w:szCs w:val="28"/>
        </w:rPr>
      </w:pPr>
      <w:r w:rsidRPr="001F06F3">
        <w:rPr>
          <w:rFonts w:cs="Times New Roman"/>
          <w:b/>
          <w:szCs w:val="28"/>
        </w:rPr>
        <w:lastRenderedPageBreak/>
        <w:t>1.11. Căn cứ pháp lý ban hành</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Luật Phòng, chống ma túy số 120/2025/QH15.</w:t>
      </w:r>
    </w:p>
    <w:p w:rsidR="00A72C48" w:rsidRPr="001F06F3" w:rsidRDefault="00B46E6A" w:rsidP="001F06F3">
      <w:pPr>
        <w:spacing w:before="120" w:after="120" w:line="360" w:lineRule="exact"/>
        <w:ind w:firstLine="709"/>
        <w:jc w:val="both"/>
        <w:rPr>
          <w:rFonts w:cs="Times New Roman"/>
          <w:szCs w:val="28"/>
        </w:rPr>
      </w:pPr>
      <w:r w:rsidRPr="001F06F3">
        <w:rPr>
          <w:rFonts w:cs="Times New Roman"/>
          <w:szCs w:val="28"/>
        </w:rPr>
        <w:t>- Nghị định số 1</w:t>
      </w:r>
      <w:r w:rsidRPr="001F06F3">
        <w:rPr>
          <w:rFonts w:cs="Times New Roman"/>
          <w:szCs w:val="28"/>
        </w:rPr>
        <w:t>63/2026/NĐ-CP ngày 15/5/2026 của Chính phủ quy định chi tiết và hướng dẫn thi hành một số điều của Luật Phòng, chống ma túy.</w:t>
      </w:r>
    </w:p>
    <w:p w:rsidR="00A72C48" w:rsidRDefault="00B46E6A">
      <w:r>
        <w:br w:type="page"/>
      </w:r>
    </w:p>
    <w:p w:rsidR="00A72C48" w:rsidRDefault="00B46E6A">
      <w:pPr>
        <w:keepNext/>
        <w:spacing w:after="40" w:line="252" w:lineRule="auto"/>
        <w:jc w:val="center"/>
      </w:pPr>
      <w:r>
        <w:rPr>
          <w:b/>
        </w:rPr>
        <w:lastRenderedPageBreak/>
        <w:t xml:space="preserve">PHẦN III. CÁC MẪU ĐƠN, TỜ KHAI THỰC HIỆN </w:t>
      </w:r>
      <w:r w:rsidR="001F06F3">
        <w:rPr>
          <w:b/>
        </w:rPr>
        <w:t>TTHC</w:t>
      </w:r>
    </w:p>
    <w:p w:rsidR="00A72C48" w:rsidRDefault="00B46E6A">
      <w:pPr>
        <w:spacing w:after="100" w:line="240" w:lineRule="auto"/>
        <w:jc w:val="center"/>
      </w:pPr>
      <w:r>
        <w:rPr>
          <w:i/>
          <w:sz w:val="25"/>
        </w:rPr>
        <w:t>(Kèm theo Nghị định số 163/2026/NĐ-CP ngày 15 tháng 5 năm 2026 của Ch</w:t>
      </w:r>
      <w:r>
        <w:rPr>
          <w:i/>
          <w:sz w:val="25"/>
        </w:rPr>
        <w:t>ính phủ)</w:t>
      </w:r>
    </w:p>
    <w:tbl>
      <w:tblPr>
        <w:tblStyle w:val="TableGrid"/>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1361"/>
        <w:gridCol w:w="7710"/>
      </w:tblGrid>
      <w:tr w:rsidR="00A72C48">
        <w:trPr>
          <w:tblHeader/>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b/>
                <w:sz w:val="22"/>
              </w:rPr>
              <w:t>TT</w:t>
            </w:r>
          </w:p>
        </w:tc>
        <w:tc>
          <w:tcPr>
            <w:tcW w:w="7710" w:type="dxa"/>
            <w:tcMar>
              <w:top w:w="80" w:type="dxa"/>
              <w:left w:w="80" w:type="dxa"/>
              <w:bottom w:w="80" w:type="dxa"/>
              <w:right w:w="80" w:type="dxa"/>
            </w:tcMar>
            <w:vAlign w:val="center"/>
          </w:tcPr>
          <w:p w:rsidR="00A72C48" w:rsidRDefault="00B46E6A">
            <w:pPr>
              <w:spacing w:line="252" w:lineRule="auto"/>
              <w:jc w:val="center"/>
            </w:pPr>
            <w:r>
              <w:rPr>
                <w:b/>
                <w:sz w:val="22"/>
              </w:rPr>
              <w:t>Nội dung biểu mẫu</w:t>
            </w:r>
          </w:p>
        </w:tc>
      </w:tr>
      <w:tr w:rsidR="00A72C48">
        <w:trPr>
          <w:jc w:val="center"/>
        </w:trPr>
        <w:tc>
          <w:tcPr>
            <w:tcW w:w="9071" w:type="dxa"/>
            <w:gridSpan w:val="2"/>
            <w:tcMar>
              <w:top w:w="80" w:type="dxa"/>
              <w:left w:w="80" w:type="dxa"/>
              <w:bottom w:w="80" w:type="dxa"/>
              <w:right w:w="80" w:type="dxa"/>
            </w:tcMar>
            <w:vAlign w:val="center"/>
          </w:tcPr>
          <w:p w:rsidR="00A72C48" w:rsidRDefault="00B46E6A">
            <w:pPr>
              <w:spacing w:line="252" w:lineRule="auto"/>
              <w:jc w:val="center"/>
            </w:pPr>
            <w:r>
              <w:rPr>
                <w:b/>
                <w:sz w:val="22"/>
              </w:rPr>
              <w:t>I. GIẤY PHÉP HOẠT ĐỘNG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01</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Phương án tài chính của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02</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Văn bản đề nghị cấp (cấp lại) Giấy phép hoạt động cai nghiện ma túy của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03</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Danh sách nhân viên của cơ sở cai nghiện ma túy tư nhân/cơ sở cung cấp dịch vụ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04</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 xml:space="preserve">Tóm tắt lý lịch của cá nhân, người đứng đầu hoặc người đại diện theo pháp luật của cơ sở cai nghiện ma túy tư nhân/cơ sở cung cấp dịch vụ </w:t>
            </w:r>
            <w:r>
              <w:rPr>
                <w:sz w:val="21"/>
              </w:rPr>
              <w:t>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05</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Giấy phép hoạt động cai nghiện ma túy đối với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06</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Báo cáo khắc phục hậu quả việc đình chỉ hoạt động của cơ sở cai nghiện ma túy tư nhân/cơ sở cung cấp dịch vụ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07</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Biên bản vi phạm các quy định của pháp luật về cai nghiện ma túy của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08</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Quyết định đình chỉ hoạt động cai nghiện ma túy đối với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09</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 xml:space="preserve">Văn bản đề nghị dừng hoạt động cai nghiện ma </w:t>
            </w:r>
            <w:r>
              <w:rPr>
                <w:sz w:val="21"/>
              </w:rPr>
              <w:t>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10</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Quyết định thu hồi giấy phép hoạt động cai nghiện ma túy đối với cơ sở cai nghiện ma túy tư nhân</w:t>
            </w:r>
          </w:p>
        </w:tc>
      </w:tr>
      <w:tr w:rsidR="00A72C48">
        <w:trPr>
          <w:jc w:val="center"/>
        </w:trPr>
        <w:tc>
          <w:tcPr>
            <w:tcW w:w="9071" w:type="dxa"/>
            <w:gridSpan w:val="2"/>
            <w:tcMar>
              <w:top w:w="80" w:type="dxa"/>
              <w:left w:w="80" w:type="dxa"/>
              <w:bottom w:w="80" w:type="dxa"/>
              <w:right w:w="80" w:type="dxa"/>
            </w:tcMar>
            <w:vAlign w:val="center"/>
          </w:tcPr>
          <w:p w:rsidR="00A72C48" w:rsidRDefault="00B46E6A">
            <w:pPr>
              <w:spacing w:line="252" w:lineRule="auto"/>
              <w:jc w:val="center"/>
            </w:pPr>
            <w:r>
              <w:rPr>
                <w:b/>
                <w:sz w:val="22"/>
              </w:rPr>
              <w:t>II. ĐIỀU KIỆN CUNG CẤP DỊCH VỤ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11</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 xml:space="preserve">Văn bản đề nghị công bố (công bố lại) đủ điều kiện cung cấp dịch vụ cai nghiện ma </w:t>
            </w:r>
            <w:r>
              <w:rPr>
                <w:sz w:val="21"/>
              </w:rPr>
              <w:t>túy tự nguyện tại gia đình, cộng đồng của tổ chức, cá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12</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Quyết định công bố (công bố lại) cơ sở đủ điều kiện cung cấp dịch vụ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13</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Biên bản vi phạm quy định pháp luật về cai nghiện ma t</w:t>
            </w:r>
            <w:r>
              <w:rPr>
                <w:sz w:val="21"/>
              </w:rPr>
              <w:t>úy của tổ chức, cá nhân cung cấp dịch vụ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14</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Quyết định đình chỉ hoạt động cai nghiện ma túy đối với tổ chức, cá nhân cung cấp dịch vụ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15</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Báo cáo khắc phục việc đình chỉ hoạt động của tổ chức, cá nhân cung cấp dịch vụ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16</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 xml:space="preserve">Quyết định giao nhiệm vụ cung cấp dịch vụ cai nghiện ma túy tự nguyện tại gia đình, cộng đồng đối với đơn vị sự </w:t>
            </w:r>
            <w:r>
              <w:rPr>
                <w:sz w:val="21"/>
              </w:rPr>
              <w:t>nghiệp thuộc thẩm quyền</w:t>
            </w:r>
          </w:p>
        </w:tc>
      </w:tr>
      <w:tr w:rsidR="00A72C48">
        <w:trPr>
          <w:jc w:val="center"/>
        </w:trPr>
        <w:tc>
          <w:tcPr>
            <w:tcW w:w="9071" w:type="dxa"/>
            <w:gridSpan w:val="2"/>
            <w:tcMar>
              <w:top w:w="80" w:type="dxa"/>
              <w:left w:w="80" w:type="dxa"/>
              <w:bottom w:w="80" w:type="dxa"/>
              <w:right w:w="80" w:type="dxa"/>
            </w:tcMar>
            <w:vAlign w:val="center"/>
          </w:tcPr>
          <w:p w:rsidR="00A72C48" w:rsidRDefault="00B46E6A">
            <w:pPr>
              <w:spacing w:line="252" w:lineRule="auto"/>
              <w:jc w:val="center"/>
            </w:pPr>
            <w:r>
              <w:rPr>
                <w:b/>
                <w:sz w:val="22"/>
              </w:rPr>
              <w:t>IV. CAI NGHIỆN MA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20</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Đơn xin đi cai nghiện ma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21</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Sổ đăng ký cai nghiện ma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22</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Quyết định cai nghiện ma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23</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Biên bản giao nhận Quyết định/Giấy xác</w:t>
            </w:r>
            <w:r>
              <w:rPr>
                <w:sz w:val="21"/>
              </w:rPr>
              <w:t xml:space="preserve"> nhận/Thông báo</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lastRenderedPageBreak/>
              <w:t>Mẫu số 24</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Biên bản tiếp nhận đăng ký cai nghiện ma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25</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Cam kết bằng văn bản về việc chấp hành nghiêm chỉnh các biện pháp quản lý, giám sát</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26</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 xml:space="preserve">Văn bản đề nghị tiếp tục quản lý, hỗ trợ người cai nghiện ma túy tự </w:t>
            </w:r>
            <w:r>
              <w:rPr>
                <w:sz w:val="21"/>
              </w:rPr>
              <w:t>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27</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Giấy xác nhận hoàn thành dịch vụ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28</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Giấy xác nhận hoàn thành cai nghiện ma túy tự nguyện tại gia đình, cộng đồng</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29</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Hợp đồng dịch vụ cai nghiện ma</w:t>
            </w:r>
            <w:r>
              <w:rPr>
                <w:sz w:val="21"/>
              </w:rPr>
              <w:t xml:space="preserve"> túy tự nguyện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30</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Giấy xác nhận hoàn thành cai nghiện tự nguyện/thời gian, quy trình đã thực hiện tại cơ sở cai nghiện ma túy tư nhân</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31</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Biên bản giao, nhận hồ sơ, người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33</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Tóm tắt lý lịch của người nghiện ma túy/n</w:t>
            </w:r>
            <w:r>
              <w:rPr>
                <w:sz w:val="21"/>
              </w:rPr>
              <w:t>gười sau cai nghiện ma túy</w:t>
            </w:r>
          </w:p>
        </w:tc>
      </w:tr>
      <w:tr w:rsidR="00A72C48">
        <w:trPr>
          <w:cantSplit/>
          <w:jc w:val="center"/>
        </w:trPr>
        <w:tc>
          <w:tcPr>
            <w:tcW w:w="1361" w:type="dxa"/>
            <w:tcMar>
              <w:top w:w="80" w:type="dxa"/>
              <w:left w:w="80" w:type="dxa"/>
              <w:bottom w:w="80" w:type="dxa"/>
              <w:right w:w="80" w:type="dxa"/>
            </w:tcMar>
            <w:vAlign w:val="center"/>
          </w:tcPr>
          <w:p w:rsidR="00A72C48" w:rsidRDefault="00B46E6A">
            <w:pPr>
              <w:spacing w:line="252" w:lineRule="auto"/>
              <w:jc w:val="center"/>
            </w:pPr>
            <w:r>
              <w:rPr>
                <w:sz w:val="21"/>
              </w:rPr>
              <w:t>Mẫu số 35</w:t>
            </w:r>
          </w:p>
        </w:tc>
        <w:tc>
          <w:tcPr>
            <w:tcW w:w="7710" w:type="dxa"/>
            <w:tcMar>
              <w:top w:w="80" w:type="dxa"/>
              <w:left w:w="80" w:type="dxa"/>
              <w:bottom w:w="80" w:type="dxa"/>
              <w:right w:w="80" w:type="dxa"/>
            </w:tcMar>
            <w:vAlign w:val="center"/>
          </w:tcPr>
          <w:p w:rsidR="00A72C48" w:rsidRDefault="00B46E6A">
            <w:pPr>
              <w:spacing w:line="252" w:lineRule="auto"/>
              <w:jc w:val="both"/>
            </w:pPr>
            <w:r>
              <w:rPr>
                <w:sz w:val="21"/>
              </w:rPr>
              <w:t>Giấy xác nhận người đang điều trị nghiện bằng thuốc thay thế</w:t>
            </w:r>
          </w:p>
        </w:tc>
      </w:tr>
    </w:tbl>
    <w:p w:rsidR="00A72C48" w:rsidRDefault="00A72C48">
      <w:pPr>
        <w:sectPr w:rsidR="00A72C48" w:rsidSect="00563E90">
          <w:headerReference w:type="default" r:id="rId8"/>
          <w:pgSz w:w="11906" w:h="16838"/>
          <w:pgMar w:top="1134" w:right="1134" w:bottom="1134" w:left="1701" w:header="567" w:footer="567" w:gutter="0"/>
          <w:cols w:space="720"/>
          <w:titlePg/>
          <w:docGrid w:linePitch="381"/>
        </w:sectPr>
      </w:pPr>
    </w:p>
    <w:p w:rsidR="00A72C48" w:rsidRDefault="00B46E6A">
      <w:pPr>
        <w:spacing w:line="240" w:lineRule="auto"/>
        <w:jc w:val="center"/>
      </w:pPr>
      <w:r>
        <w:rPr>
          <w:noProof/>
        </w:rPr>
        <w:lastRenderedPageBreak/>
        <w:drawing>
          <wp:inline distT="0" distB="0" distL="0" distR="0">
            <wp:extent cx="7092000" cy="100448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0.jpg"/>
                    <pic:cNvPicPr/>
                  </pic:nvPicPr>
                  <pic:blipFill>
                    <a:blip r:embed="rId9"/>
                    <a:stretch>
                      <a:fillRect/>
                    </a:stretch>
                  </pic:blipFill>
                  <pic:spPr>
                    <a:xfrm>
                      <a:off x="0" y="0"/>
                      <a:ext cx="7092000" cy="1004489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033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1.jpg"/>
                    <pic:cNvPicPr/>
                  </pic:nvPicPr>
                  <pic:blipFill>
                    <a:blip r:embed="rId10"/>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85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2.jpg"/>
                    <pic:cNvPicPr/>
                  </pic:nvPicPr>
                  <pic:blipFill>
                    <a:blip r:embed="rId11"/>
                    <a:stretch>
                      <a:fillRect/>
                    </a:stretch>
                  </pic:blipFill>
                  <pic:spPr>
                    <a:xfrm>
                      <a:off x="0" y="0"/>
                      <a:ext cx="7092000" cy="10028531"/>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60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3.jpg"/>
                    <pic:cNvPicPr/>
                  </pic:nvPicPr>
                  <pic:blipFill>
                    <a:blip r:embed="rId12"/>
                    <a:stretch>
                      <a:fillRect/>
                    </a:stretch>
                  </pic:blipFill>
                  <pic:spPr>
                    <a:xfrm>
                      <a:off x="0" y="0"/>
                      <a:ext cx="7092000" cy="10060040"/>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48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4.jpg"/>
                    <pic:cNvPicPr/>
                  </pic:nvPicPr>
                  <pic:blipFill>
                    <a:blip r:embed="rId13"/>
                    <a:stretch>
                      <a:fillRect/>
                    </a:stretch>
                  </pic:blipFill>
                  <pic:spPr>
                    <a:xfrm>
                      <a:off x="0" y="0"/>
                      <a:ext cx="7092000" cy="1004489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7863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5.jpg"/>
                    <pic:cNvPicPr/>
                  </pic:nvPicPr>
                  <pic:blipFill>
                    <a:blip r:embed="rId14"/>
                    <a:stretch>
                      <a:fillRect/>
                    </a:stretch>
                  </pic:blipFill>
                  <pic:spPr>
                    <a:xfrm>
                      <a:off x="0" y="0"/>
                      <a:ext cx="7092000" cy="10078639"/>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0334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6.jpg"/>
                    <pic:cNvPicPr/>
                  </pic:nvPicPr>
                  <pic:blipFill>
                    <a:blip r:embed="rId15"/>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7.jpg"/>
                    <pic:cNvPicPr/>
                  </pic:nvPicPr>
                  <pic:blipFill>
                    <a:blip r:embed="rId16"/>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386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8.jpg"/>
                    <pic:cNvPicPr/>
                  </pic:nvPicPr>
                  <pic:blipFill>
                    <a:blip r:embed="rId17"/>
                    <a:stretch>
                      <a:fillRect/>
                    </a:stretch>
                  </pic:blipFill>
                  <pic:spPr>
                    <a:xfrm>
                      <a:off x="0" y="0"/>
                      <a:ext cx="7092000" cy="1003860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786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9.jpg"/>
                    <pic:cNvPicPr/>
                  </pic:nvPicPr>
                  <pic:blipFill>
                    <a:blip r:embed="rId18"/>
                    <a:stretch>
                      <a:fillRect/>
                    </a:stretch>
                  </pic:blipFill>
                  <pic:spPr>
                    <a:xfrm>
                      <a:off x="0" y="0"/>
                      <a:ext cx="7092000" cy="10078639"/>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786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0.jpg"/>
                    <pic:cNvPicPr/>
                  </pic:nvPicPr>
                  <pic:blipFill>
                    <a:blip r:embed="rId19"/>
                    <a:stretch>
                      <a:fillRect/>
                    </a:stretch>
                  </pic:blipFill>
                  <pic:spPr>
                    <a:xfrm>
                      <a:off x="0" y="0"/>
                      <a:ext cx="7092000" cy="10078639"/>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033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1.jpg"/>
                    <pic:cNvPicPr/>
                  </pic:nvPicPr>
                  <pic:blipFill>
                    <a:blip r:embed="rId20"/>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2.jpg"/>
                    <pic:cNvPicPr/>
                  </pic:nvPicPr>
                  <pic:blipFill>
                    <a:blip r:embed="rId21"/>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853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3.jpg"/>
                    <pic:cNvPicPr/>
                  </pic:nvPicPr>
                  <pic:blipFill>
                    <a:blip r:embed="rId22"/>
                    <a:stretch>
                      <a:fillRect/>
                    </a:stretch>
                  </pic:blipFill>
                  <pic:spPr>
                    <a:xfrm>
                      <a:off x="0" y="0"/>
                      <a:ext cx="7092000" cy="10028531"/>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4.jpg"/>
                    <pic:cNvPicPr/>
                  </pic:nvPicPr>
                  <pic:blipFill>
                    <a:blip r:embed="rId23"/>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7357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5.jpg"/>
                    <pic:cNvPicPr/>
                  </pic:nvPicPr>
                  <pic:blipFill>
                    <a:blip r:embed="rId24"/>
                    <a:stretch>
                      <a:fillRect/>
                    </a:stretch>
                  </pic:blipFill>
                  <pic:spPr>
                    <a:xfrm>
                      <a:off x="0" y="0"/>
                      <a:ext cx="7092000" cy="10073576"/>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7863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6.jpg"/>
                    <pic:cNvPicPr/>
                  </pic:nvPicPr>
                  <pic:blipFill>
                    <a:blip r:embed="rId25"/>
                    <a:stretch>
                      <a:fillRect/>
                    </a:stretch>
                  </pic:blipFill>
                  <pic:spPr>
                    <a:xfrm>
                      <a:off x="0" y="0"/>
                      <a:ext cx="7092000" cy="10078639"/>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600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7.jpg"/>
                    <pic:cNvPicPr/>
                  </pic:nvPicPr>
                  <pic:blipFill>
                    <a:blip r:embed="rId26"/>
                    <a:stretch>
                      <a:fillRect/>
                    </a:stretch>
                  </pic:blipFill>
                  <pic:spPr>
                    <a:xfrm>
                      <a:off x="0" y="0"/>
                      <a:ext cx="7092000" cy="10060040"/>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349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8.jpg"/>
                    <pic:cNvPicPr/>
                  </pic:nvPicPr>
                  <pic:blipFill>
                    <a:blip r:embed="rId27"/>
                    <a:stretch>
                      <a:fillRect/>
                    </a:stretch>
                  </pic:blipFill>
                  <pic:spPr>
                    <a:xfrm>
                      <a:off x="0" y="0"/>
                      <a:ext cx="7092000" cy="1002349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470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9.jpg"/>
                    <pic:cNvPicPr/>
                  </pic:nvPicPr>
                  <pic:blipFill>
                    <a:blip r:embed="rId28"/>
                    <a:stretch>
                      <a:fillRect/>
                    </a:stretch>
                  </pic:blipFill>
                  <pic:spPr>
                    <a:xfrm>
                      <a:off x="0" y="0"/>
                      <a:ext cx="7092000" cy="1002470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887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0.jpg"/>
                    <pic:cNvPicPr/>
                  </pic:nvPicPr>
                  <pic:blipFill>
                    <a:blip r:embed="rId29"/>
                    <a:stretch>
                      <a:fillRect/>
                    </a:stretch>
                  </pic:blipFill>
                  <pic:spPr>
                    <a:xfrm>
                      <a:off x="0" y="0"/>
                      <a:ext cx="7092000" cy="10088763"/>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448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1.jpg"/>
                    <pic:cNvPicPr/>
                  </pic:nvPicPr>
                  <pic:blipFill>
                    <a:blip r:embed="rId30"/>
                    <a:stretch>
                      <a:fillRect/>
                    </a:stretch>
                  </pic:blipFill>
                  <pic:spPr>
                    <a:xfrm>
                      <a:off x="0" y="0"/>
                      <a:ext cx="7092000" cy="1004489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3860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2.jpg"/>
                    <pic:cNvPicPr/>
                  </pic:nvPicPr>
                  <pic:blipFill>
                    <a:blip r:embed="rId31"/>
                    <a:stretch>
                      <a:fillRect/>
                    </a:stretch>
                  </pic:blipFill>
                  <pic:spPr>
                    <a:xfrm>
                      <a:off x="0" y="0"/>
                      <a:ext cx="7092000" cy="1003860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85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3.jpg"/>
                    <pic:cNvPicPr/>
                  </pic:nvPicPr>
                  <pic:blipFill>
                    <a:blip r:embed="rId32"/>
                    <a:stretch>
                      <a:fillRect/>
                    </a:stretch>
                  </pic:blipFill>
                  <pic:spPr>
                    <a:xfrm>
                      <a:off x="0" y="0"/>
                      <a:ext cx="7092000" cy="10028531"/>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470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4.jpg"/>
                    <pic:cNvPicPr/>
                  </pic:nvPicPr>
                  <pic:blipFill>
                    <a:blip r:embed="rId33"/>
                    <a:stretch>
                      <a:fillRect/>
                    </a:stretch>
                  </pic:blipFill>
                  <pic:spPr>
                    <a:xfrm>
                      <a:off x="0" y="0"/>
                      <a:ext cx="7092000" cy="1002470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7863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5.jpg"/>
                    <pic:cNvPicPr/>
                  </pic:nvPicPr>
                  <pic:blipFill>
                    <a:blip r:embed="rId34"/>
                    <a:stretch>
                      <a:fillRect/>
                    </a:stretch>
                  </pic:blipFill>
                  <pic:spPr>
                    <a:xfrm>
                      <a:off x="0" y="0"/>
                      <a:ext cx="7092000" cy="10078639"/>
                    </a:xfrm>
                    <a:prstGeom prst="rect">
                      <a:avLst/>
                    </a:prstGeom>
                  </pic:spPr>
                </pic:pic>
              </a:graphicData>
            </a:graphic>
          </wp:inline>
        </w:drawing>
      </w:r>
    </w:p>
    <w:p w:rsidR="00A72C48" w:rsidRDefault="00B46E6A">
      <w:r>
        <w:lastRenderedPageBreak/>
        <w:br w:type="page"/>
      </w:r>
    </w:p>
    <w:p w:rsidR="00A72C48" w:rsidRDefault="00B46E6A">
      <w:pPr>
        <w:spacing w:line="240" w:lineRule="auto"/>
        <w:jc w:val="center"/>
      </w:pPr>
      <w:r>
        <w:rPr>
          <w:noProof/>
        </w:rPr>
        <w:lastRenderedPageBreak/>
        <w:drawing>
          <wp:inline distT="0" distB="0" distL="0" distR="0">
            <wp:extent cx="7092000" cy="1000334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6.jpg"/>
                    <pic:cNvPicPr/>
                  </pic:nvPicPr>
                  <pic:blipFill>
                    <a:blip r:embed="rId35"/>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34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7.jpg"/>
                    <pic:cNvPicPr/>
                  </pic:nvPicPr>
                  <pic:blipFill>
                    <a:blip r:embed="rId36"/>
                    <a:stretch>
                      <a:fillRect/>
                    </a:stretch>
                  </pic:blipFill>
                  <pic:spPr>
                    <a:xfrm>
                      <a:off x="0" y="0"/>
                      <a:ext cx="7092000" cy="1002349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853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8.jpg"/>
                    <pic:cNvPicPr/>
                  </pic:nvPicPr>
                  <pic:blipFill>
                    <a:blip r:embed="rId37"/>
                    <a:stretch>
                      <a:fillRect/>
                    </a:stretch>
                  </pic:blipFill>
                  <pic:spPr>
                    <a:xfrm>
                      <a:off x="0" y="0"/>
                      <a:ext cx="7092000" cy="10028531"/>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9.jpg"/>
                    <pic:cNvPicPr/>
                  </pic:nvPicPr>
                  <pic:blipFill>
                    <a:blip r:embed="rId38"/>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2470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0.jpg"/>
                    <pic:cNvPicPr/>
                  </pic:nvPicPr>
                  <pic:blipFill>
                    <a:blip r:embed="rId39"/>
                    <a:stretch>
                      <a:fillRect/>
                    </a:stretch>
                  </pic:blipFill>
                  <pic:spPr>
                    <a:xfrm>
                      <a:off x="0" y="0"/>
                      <a:ext cx="7092000" cy="10024706"/>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0334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1.jpg"/>
                    <pic:cNvPicPr/>
                  </pic:nvPicPr>
                  <pic:blipFill>
                    <a:blip r:embed="rId40"/>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0334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2.jpg"/>
                    <pic:cNvPicPr/>
                  </pic:nvPicPr>
                  <pic:blipFill>
                    <a:blip r:embed="rId41"/>
                    <a:stretch>
                      <a:fillRect/>
                    </a:stretch>
                  </pic:blipFill>
                  <pic:spPr>
                    <a:xfrm>
                      <a:off x="0" y="0"/>
                      <a:ext cx="7092000" cy="10003347"/>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600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3.jpg"/>
                    <pic:cNvPicPr/>
                  </pic:nvPicPr>
                  <pic:blipFill>
                    <a:blip r:embed="rId42"/>
                    <a:stretch>
                      <a:fillRect/>
                    </a:stretch>
                  </pic:blipFill>
                  <pic:spPr>
                    <a:xfrm>
                      <a:off x="0" y="0"/>
                      <a:ext cx="7092000" cy="10060040"/>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4.jpg"/>
                    <pic:cNvPicPr/>
                  </pic:nvPicPr>
                  <pic:blipFill>
                    <a:blip r:embed="rId43"/>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994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5.jpg"/>
                    <pic:cNvPicPr/>
                  </pic:nvPicPr>
                  <pic:blipFill>
                    <a:blip r:embed="rId44"/>
                    <a:stretch>
                      <a:fillRect/>
                    </a:stretch>
                  </pic:blipFill>
                  <pic:spPr>
                    <a:xfrm>
                      <a:off x="0" y="0"/>
                      <a:ext cx="7092000" cy="10049944"/>
                    </a:xfrm>
                    <a:prstGeom prst="rect">
                      <a:avLst/>
                    </a:prstGeom>
                  </pic:spPr>
                </pic:pic>
              </a:graphicData>
            </a:graphic>
          </wp:inline>
        </w:drawing>
      </w:r>
    </w:p>
    <w:p w:rsidR="00A72C48" w:rsidRDefault="00B46E6A">
      <w:r>
        <w:br w:type="page"/>
      </w:r>
    </w:p>
    <w:p w:rsidR="00A72C48" w:rsidRDefault="00B46E6A">
      <w:pPr>
        <w:spacing w:line="240" w:lineRule="auto"/>
        <w:jc w:val="center"/>
      </w:pPr>
      <w:r>
        <w:rPr>
          <w:noProof/>
        </w:rPr>
        <w:lastRenderedPageBreak/>
        <w:drawing>
          <wp:inline distT="0" distB="0" distL="0" distR="0">
            <wp:extent cx="7092000" cy="1004489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6.jpg"/>
                    <pic:cNvPicPr/>
                  </pic:nvPicPr>
                  <pic:blipFill>
                    <a:blip r:embed="rId45"/>
                    <a:stretch>
                      <a:fillRect/>
                    </a:stretch>
                  </pic:blipFill>
                  <pic:spPr>
                    <a:xfrm>
                      <a:off x="0" y="0"/>
                      <a:ext cx="7092000" cy="10044896"/>
                    </a:xfrm>
                    <a:prstGeom prst="rect">
                      <a:avLst/>
                    </a:prstGeom>
                  </pic:spPr>
                </pic:pic>
              </a:graphicData>
            </a:graphic>
          </wp:inline>
        </w:drawing>
      </w:r>
    </w:p>
    <w:sectPr w:rsidR="00A72C48" w:rsidSect="00034616">
      <w:pgSz w:w="11906" w:h="16838"/>
      <w:pgMar w:top="255" w:right="283" w:bottom="255" w:left="283"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E6A" w:rsidRDefault="00B46E6A">
      <w:pPr>
        <w:spacing w:line="240" w:lineRule="auto"/>
      </w:pPr>
      <w:r>
        <w:separator/>
      </w:r>
    </w:p>
  </w:endnote>
  <w:endnote w:type="continuationSeparator" w:id="0">
    <w:p w:rsidR="00B46E6A" w:rsidRDefault="00B46E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E6A" w:rsidRDefault="00B46E6A">
      <w:pPr>
        <w:spacing w:line="240" w:lineRule="auto"/>
      </w:pPr>
      <w:r>
        <w:separator/>
      </w:r>
    </w:p>
  </w:footnote>
  <w:footnote w:type="continuationSeparator" w:id="0">
    <w:p w:rsidR="00B46E6A" w:rsidRDefault="00B46E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C48" w:rsidRDefault="00B46E6A">
    <w:pPr>
      <w:pStyle w:val="Header"/>
      <w:jc w:val="center"/>
    </w:pPr>
    <w:r>
      <w:rPr>
        <w:sz w:val="26"/>
        <w:lang w:val="vi-VN" w:eastAsia="vi-VN"/>
      </w:rPr>
      <w:fldChar w:fldCharType="begin"/>
    </w:r>
    <w:r>
      <w:rPr>
        <w:sz w:val="26"/>
        <w:lang w:val="vi-VN" w:eastAsia="vi-VN"/>
      </w:rPr>
      <w:instrText xml:space="preserve"> PAGE </w:instrText>
    </w:r>
    <w:r>
      <w:rPr>
        <w:sz w:val="26"/>
        <w:lang w:val="vi-VN" w:eastAsia="vi-VN"/>
      </w:rPr>
      <w:fldChar w:fldCharType="separate"/>
    </w:r>
    <w:r w:rsidR="00B441D8">
      <w:rPr>
        <w:noProof/>
        <w:sz w:val="26"/>
        <w:lang w:val="vi-VN" w:eastAsia="vi-VN"/>
      </w:rPr>
      <w:t>15</w:t>
    </w:r>
    <w:r>
      <w:rPr>
        <w:sz w:val="26"/>
        <w:lang w:val="vi-VN" w:eastAsia="vi-V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486BD2"/>
    <w:multiLevelType w:val="singleLevel"/>
    <w:tmpl w:val="2F24F7A4"/>
    <w:lvl w:ilvl="0">
      <w:start w:val="1"/>
      <w:numFmt w:val="bullet"/>
      <w:pStyle w:val="ListBullet"/>
      <w:lvlText w:val="-"/>
      <w:lvlJc w:val="left"/>
      <w:pPr>
        <w:tabs>
          <w:tab w:val="num" w:pos="320"/>
        </w:tabs>
        <w:ind w:left="320" w:hanging="220"/>
      </w:pPr>
      <w:rPr>
        <w:rFonts w:ascii="Times New Roman" w:eastAsia="Times New Roman" w:hAnsi="Times New Roman"/>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23B8"/>
    <w:rsid w:val="0015074B"/>
    <w:rsid w:val="00163C03"/>
    <w:rsid w:val="0018137F"/>
    <w:rsid w:val="001F06F3"/>
    <w:rsid w:val="0029639D"/>
    <w:rsid w:val="002A04BB"/>
    <w:rsid w:val="00326F90"/>
    <w:rsid w:val="00352A7B"/>
    <w:rsid w:val="00364D26"/>
    <w:rsid w:val="004D566D"/>
    <w:rsid w:val="00563E90"/>
    <w:rsid w:val="009D47BC"/>
    <w:rsid w:val="00A72C48"/>
    <w:rsid w:val="00AA1D8D"/>
    <w:rsid w:val="00B441D8"/>
    <w:rsid w:val="00B46E6A"/>
    <w:rsid w:val="00B47730"/>
    <w:rsid w:val="00CB0664"/>
    <w:rsid w:val="00E518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6070CA"/>
  <w14:defaultImageDpi w14:val="300"/>
  <w15:docId w15:val="{24AEF30C-33AF-4032-A562-66FA29BA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823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3B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23.jpg"/><Relationship Id="rId44" Type="http://schemas.openxmlformats.org/officeDocument/2006/relationships/image" Target="media/image36.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fontTable" Target="fontTable.xml"/><Relationship Id="rId20" Type="http://schemas.openxmlformats.org/officeDocument/2006/relationships/image" Target="media/image12.jpg"/><Relationship Id="rId4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AE51D-D583-4B4F-A4B9-CFC559FDE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63</Pages>
  <Words>4344</Words>
  <Characters>24764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Quyết định công khai TTHC lĩnh vực cai nghiện ma túy năm 2026</dc:title>
  <dc:subject>Danh mục và nội dung TTHC theo Quyết định số 4960/QĐ-BCA</dc:subject>
  <dc:creator>Công an tỉnh Hưng Yên</dc:creator>
  <cp:keywords>thủ tục hành chính; cai nghiện ma túy; Quyết định 4960/QĐ-BCA; Công an tỉnh Hưng Yên</cp:keywords>
  <dc:description>Dự thảo phục vụ trình ký, công khai thủ tục hành chính.</dc:description>
  <cp:lastModifiedBy>Dell</cp:lastModifiedBy>
  <cp:revision>13</cp:revision>
  <cp:lastPrinted>2026-09-13T08:12:00Z</cp:lastPrinted>
  <dcterms:created xsi:type="dcterms:W3CDTF">2013-12-23T23:15:00Z</dcterms:created>
  <dcterms:modified xsi:type="dcterms:W3CDTF">2026-09-13T08:18:00Z</dcterms:modified>
  <cp:category/>
</cp:coreProperties>
</file>